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一、中国共产党石家庄市鹿泉区纪律检查委员会本级收支预算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2130.34</w:t>
            </w:r>
          </w:p>
        </w:tc>
        <w:tc>
          <w:tcPr>
            <w:tcW w:w="4535" w:type="dxa"/>
            <w:vAlign w:val="center"/>
          </w:tcPr>
          <w:p>
            <w:pPr>
              <w:pStyle w:val="17"/>
            </w:pPr>
            <w:r>
              <w:t>一、一般公共服务支出</w:t>
            </w:r>
          </w:p>
        </w:tc>
        <w:tc>
          <w:tcPr>
            <w:tcW w:w="2126" w:type="dxa"/>
            <w:vAlign w:val="center"/>
          </w:tcPr>
          <w:p>
            <w:pPr>
              <w:pStyle w:val="16"/>
            </w:pPr>
            <w:r>
              <w:t>1692.95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187.73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101.27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148.39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2130.34</w:t>
            </w:r>
          </w:p>
        </w:tc>
        <w:tc>
          <w:tcPr>
            <w:tcW w:w="4535" w:type="dxa"/>
            <w:vAlign w:val="center"/>
          </w:tcPr>
          <w:p>
            <w:pPr>
              <w:pStyle w:val="19"/>
            </w:pPr>
            <w:r>
              <w:t>本年支出合计</w:t>
            </w:r>
          </w:p>
        </w:tc>
        <w:tc>
          <w:tcPr>
            <w:tcW w:w="2126" w:type="dxa"/>
            <w:vAlign w:val="center"/>
          </w:tcPr>
          <w:p>
            <w:pPr>
              <w:pStyle w:val="20"/>
            </w:pPr>
            <w:r>
              <w:t>2130.34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2130.34</w:t>
            </w:r>
          </w:p>
        </w:tc>
        <w:tc>
          <w:tcPr>
            <w:tcW w:w="4535" w:type="dxa"/>
            <w:vAlign w:val="center"/>
          </w:tcPr>
          <w:p>
            <w:pPr>
              <w:pStyle w:val="19"/>
            </w:pPr>
            <w:r>
              <w:t>支出总计</w:t>
            </w:r>
          </w:p>
        </w:tc>
        <w:tc>
          <w:tcPr>
            <w:tcW w:w="2126" w:type="dxa"/>
            <w:vAlign w:val="center"/>
          </w:tcPr>
          <w:p>
            <w:pPr>
              <w:pStyle w:val="20"/>
            </w:pPr>
            <w:r>
              <w:t>2130.34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2130.34</w:t>
            </w:r>
          </w:p>
        </w:tc>
        <w:tc>
          <w:tcPr>
            <w:tcW w:w="1134" w:type="dxa"/>
            <w:vAlign w:val="center"/>
          </w:tcPr>
          <w:p>
            <w:pPr>
              <w:pStyle w:val="20"/>
            </w:pPr>
            <w:r>
              <w:t>2130.34</w:t>
            </w:r>
          </w:p>
        </w:tc>
        <w:tc>
          <w:tcPr>
            <w:tcW w:w="1134" w:type="dxa"/>
            <w:vAlign w:val="center"/>
          </w:tcPr>
          <w:p>
            <w:pPr>
              <w:pStyle w:val="20"/>
            </w:pPr>
            <w:r>
              <w:t>2130.34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2011101</w:t>
            </w:r>
          </w:p>
        </w:tc>
        <w:tc>
          <w:tcPr>
            <w:tcW w:w="1559" w:type="dxa"/>
            <w:vAlign w:val="center"/>
          </w:tcPr>
          <w:p>
            <w:pPr>
              <w:pStyle w:val="17"/>
            </w:pPr>
            <w:r>
              <w:t>行政运行</w:t>
            </w:r>
          </w:p>
        </w:tc>
        <w:tc>
          <w:tcPr>
            <w:tcW w:w="1134" w:type="dxa"/>
            <w:vAlign w:val="center"/>
          </w:tcPr>
          <w:p>
            <w:pPr>
              <w:pStyle w:val="16"/>
            </w:pPr>
            <w:r>
              <w:t>1360.95</w:t>
            </w:r>
          </w:p>
        </w:tc>
        <w:tc>
          <w:tcPr>
            <w:tcW w:w="1134" w:type="dxa"/>
            <w:vAlign w:val="center"/>
          </w:tcPr>
          <w:p>
            <w:pPr>
              <w:pStyle w:val="16"/>
            </w:pPr>
            <w:r>
              <w:t>1360.95</w:t>
            </w:r>
          </w:p>
        </w:tc>
        <w:tc>
          <w:tcPr>
            <w:tcW w:w="1134" w:type="dxa"/>
            <w:vAlign w:val="center"/>
          </w:tcPr>
          <w:p>
            <w:pPr>
              <w:pStyle w:val="16"/>
            </w:pPr>
            <w:r>
              <w:t>1360.95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2011102</w:t>
            </w:r>
          </w:p>
        </w:tc>
        <w:tc>
          <w:tcPr>
            <w:tcW w:w="1559" w:type="dxa"/>
            <w:vAlign w:val="center"/>
          </w:tcPr>
          <w:p>
            <w:pPr>
              <w:pStyle w:val="17"/>
            </w:pPr>
            <w:r>
              <w:t>一般行政管理事务</w:t>
            </w:r>
          </w:p>
        </w:tc>
        <w:tc>
          <w:tcPr>
            <w:tcW w:w="1134" w:type="dxa"/>
            <w:vAlign w:val="center"/>
          </w:tcPr>
          <w:p>
            <w:pPr>
              <w:pStyle w:val="16"/>
            </w:pPr>
            <w:r>
              <w:t>332.00</w:t>
            </w:r>
          </w:p>
        </w:tc>
        <w:tc>
          <w:tcPr>
            <w:tcW w:w="1134" w:type="dxa"/>
            <w:vAlign w:val="center"/>
          </w:tcPr>
          <w:p>
            <w:pPr>
              <w:pStyle w:val="16"/>
            </w:pPr>
            <w:r>
              <w:t>332.00</w:t>
            </w:r>
          </w:p>
        </w:tc>
        <w:tc>
          <w:tcPr>
            <w:tcW w:w="1134" w:type="dxa"/>
            <w:vAlign w:val="center"/>
          </w:tcPr>
          <w:p>
            <w:pPr>
              <w:pStyle w:val="16"/>
            </w:pPr>
            <w:r>
              <w:t>332.00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82.91</w:t>
            </w:r>
          </w:p>
        </w:tc>
        <w:tc>
          <w:tcPr>
            <w:tcW w:w="1134" w:type="dxa"/>
            <w:vAlign w:val="center"/>
          </w:tcPr>
          <w:p>
            <w:pPr>
              <w:pStyle w:val="16"/>
            </w:pPr>
            <w:r>
              <w:t>82.91</w:t>
            </w:r>
          </w:p>
        </w:tc>
        <w:tc>
          <w:tcPr>
            <w:tcW w:w="1134" w:type="dxa"/>
            <w:vAlign w:val="center"/>
          </w:tcPr>
          <w:p>
            <w:pPr>
              <w:pStyle w:val="16"/>
            </w:pPr>
            <w:r>
              <w:t>82.91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104.82</w:t>
            </w:r>
          </w:p>
        </w:tc>
        <w:tc>
          <w:tcPr>
            <w:tcW w:w="1134" w:type="dxa"/>
            <w:vAlign w:val="center"/>
          </w:tcPr>
          <w:p>
            <w:pPr>
              <w:pStyle w:val="16"/>
            </w:pPr>
            <w:r>
              <w:t>104.82</w:t>
            </w:r>
          </w:p>
        </w:tc>
        <w:tc>
          <w:tcPr>
            <w:tcW w:w="1134" w:type="dxa"/>
            <w:vAlign w:val="center"/>
          </w:tcPr>
          <w:p>
            <w:pPr>
              <w:pStyle w:val="16"/>
            </w:pPr>
            <w:r>
              <w:t>104.82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2130.34</w:t>
            </w:r>
          </w:p>
        </w:tc>
        <w:tc>
          <w:tcPr>
            <w:tcW w:w="1361" w:type="dxa"/>
            <w:vAlign w:val="center"/>
          </w:tcPr>
          <w:p>
            <w:pPr>
              <w:pStyle w:val="20"/>
            </w:pPr>
            <w:r>
              <w:t>1798.34</w:t>
            </w:r>
          </w:p>
        </w:tc>
        <w:tc>
          <w:tcPr>
            <w:tcW w:w="1361" w:type="dxa"/>
            <w:vAlign w:val="center"/>
          </w:tcPr>
          <w:p>
            <w:pPr>
              <w:pStyle w:val="20"/>
            </w:pPr>
            <w:r>
              <w:t>332.00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1692.95</w:t>
            </w:r>
          </w:p>
        </w:tc>
        <w:tc>
          <w:tcPr>
            <w:tcW w:w="1361" w:type="dxa"/>
            <w:vAlign w:val="center"/>
          </w:tcPr>
          <w:p>
            <w:pPr>
              <w:pStyle w:val="16"/>
            </w:pPr>
            <w:r>
              <w:t>1360.95</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5" w:type="dxa"/>
            <w:vAlign w:val="center"/>
          </w:tcPr>
          <w:p>
            <w:pPr>
              <w:pStyle w:val="17"/>
            </w:pPr>
            <w:r>
              <w:t>纪检监察事务</w:t>
            </w:r>
          </w:p>
        </w:tc>
        <w:tc>
          <w:tcPr>
            <w:tcW w:w="1361" w:type="dxa"/>
            <w:vAlign w:val="center"/>
          </w:tcPr>
          <w:p>
            <w:pPr>
              <w:pStyle w:val="16"/>
            </w:pPr>
            <w:r>
              <w:t>1692.95</w:t>
            </w:r>
          </w:p>
        </w:tc>
        <w:tc>
          <w:tcPr>
            <w:tcW w:w="1361" w:type="dxa"/>
            <w:vAlign w:val="center"/>
          </w:tcPr>
          <w:p>
            <w:pPr>
              <w:pStyle w:val="16"/>
            </w:pPr>
            <w:r>
              <w:t>1360.95</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2011101</w:t>
            </w:r>
          </w:p>
        </w:tc>
        <w:tc>
          <w:tcPr>
            <w:tcW w:w="4535" w:type="dxa"/>
            <w:vAlign w:val="center"/>
          </w:tcPr>
          <w:p>
            <w:pPr>
              <w:pStyle w:val="17"/>
            </w:pPr>
            <w:r>
              <w:t>行政运行</w:t>
            </w:r>
          </w:p>
        </w:tc>
        <w:tc>
          <w:tcPr>
            <w:tcW w:w="1361" w:type="dxa"/>
            <w:vAlign w:val="center"/>
          </w:tcPr>
          <w:p>
            <w:pPr>
              <w:pStyle w:val="16"/>
            </w:pPr>
            <w:r>
              <w:t>1360.95</w:t>
            </w:r>
          </w:p>
        </w:tc>
        <w:tc>
          <w:tcPr>
            <w:tcW w:w="1361" w:type="dxa"/>
            <w:vAlign w:val="center"/>
          </w:tcPr>
          <w:p>
            <w:pPr>
              <w:pStyle w:val="16"/>
            </w:pPr>
            <w:r>
              <w:t>1360.95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2011102</w:t>
            </w:r>
          </w:p>
        </w:tc>
        <w:tc>
          <w:tcPr>
            <w:tcW w:w="4535" w:type="dxa"/>
            <w:vAlign w:val="center"/>
          </w:tcPr>
          <w:p>
            <w:pPr>
              <w:pStyle w:val="17"/>
            </w:pPr>
            <w:r>
              <w:t>一般行政管理事务</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187.73</w:t>
            </w:r>
          </w:p>
        </w:tc>
        <w:tc>
          <w:tcPr>
            <w:tcW w:w="1361" w:type="dxa"/>
            <w:vAlign w:val="center"/>
          </w:tcPr>
          <w:p>
            <w:pPr>
              <w:pStyle w:val="16"/>
            </w:pPr>
            <w:r>
              <w:t>187.73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187.73</w:t>
            </w:r>
          </w:p>
        </w:tc>
        <w:tc>
          <w:tcPr>
            <w:tcW w:w="1361" w:type="dxa"/>
            <w:vAlign w:val="center"/>
          </w:tcPr>
          <w:p>
            <w:pPr>
              <w:pStyle w:val="16"/>
            </w:pPr>
            <w:r>
              <w:t>187.73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82.91</w:t>
            </w:r>
          </w:p>
        </w:tc>
        <w:tc>
          <w:tcPr>
            <w:tcW w:w="1361" w:type="dxa"/>
            <w:vAlign w:val="center"/>
          </w:tcPr>
          <w:p>
            <w:pPr>
              <w:pStyle w:val="16"/>
            </w:pPr>
            <w:r>
              <w:t>82.91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104.82</w:t>
            </w:r>
          </w:p>
        </w:tc>
        <w:tc>
          <w:tcPr>
            <w:tcW w:w="1361" w:type="dxa"/>
            <w:vAlign w:val="center"/>
          </w:tcPr>
          <w:p>
            <w:pPr>
              <w:pStyle w:val="16"/>
            </w:pPr>
            <w:r>
              <w:t>104.82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2130.34</w:t>
            </w:r>
          </w:p>
        </w:tc>
        <w:tc>
          <w:tcPr>
            <w:tcW w:w="3402" w:type="dxa"/>
            <w:vAlign w:val="center"/>
          </w:tcPr>
          <w:p>
            <w:pPr>
              <w:pStyle w:val="17"/>
            </w:pPr>
            <w:r>
              <w:t>一、一般公共服务支出</w:t>
            </w:r>
          </w:p>
        </w:tc>
        <w:tc>
          <w:tcPr>
            <w:tcW w:w="1474" w:type="dxa"/>
            <w:vAlign w:val="center"/>
          </w:tcPr>
          <w:p>
            <w:pPr>
              <w:pStyle w:val="16"/>
            </w:pPr>
            <w:r>
              <w:t>1692.95</w:t>
            </w:r>
          </w:p>
        </w:tc>
        <w:tc>
          <w:tcPr>
            <w:tcW w:w="1474" w:type="dxa"/>
            <w:vAlign w:val="center"/>
          </w:tcPr>
          <w:p>
            <w:pPr>
              <w:pStyle w:val="16"/>
            </w:pPr>
            <w:r>
              <w:t>1692.95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187.73</w:t>
            </w:r>
          </w:p>
        </w:tc>
        <w:tc>
          <w:tcPr>
            <w:tcW w:w="1474" w:type="dxa"/>
            <w:vAlign w:val="center"/>
          </w:tcPr>
          <w:p>
            <w:pPr>
              <w:pStyle w:val="16"/>
            </w:pPr>
            <w:r>
              <w:t>187.73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101.27</w:t>
            </w:r>
          </w:p>
        </w:tc>
        <w:tc>
          <w:tcPr>
            <w:tcW w:w="1474" w:type="dxa"/>
            <w:vAlign w:val="center"/>
          </w:tcPr>
          <w:p>
            <w:pPr>
              <w:pStyle w:val="16"/>
            </w:pPr>
            <w:r>
              <w:t>101.27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148.39</w:t>
            </w:r>
          </w:p>
        </w:tc>
        <w:tc>
          <w:tcPr>
            <w:tcW w:w="1474" w:type="dxa"/>
            <w:vAlign w:val="center"/>
          </w:tcPr>
          <w:p>
            <w:pPr>
              <w:pStyle w:val="16"/>
            </w:pPr>
            <w:r>
              <w:t>148.39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2130.34</w:t>
            </w:r>
          </w:p>
        </w:tc>
        <w:tc>
          <w:tcPr>
            <w:tcW w:w="3402" w:type="dxa"/>
            <w:vAlign w:val="center"/>
          </w:tcPr>
          <w:p>
            <w:pPr>
              <w:pStyle w:val="19"/>
            </w:pPr>
            <w:r>
              <w:t>本年支出合计</w:t>
            </w:r>
          </w:p>
        </w:tc>
        <w:tc>
          <w:tcPr>
            <w:tcW w:w="1474" w:type="dxa"/>
            <w:vAlign w:val="center"/>
          </w:tcPr>
          <w:p>
            <w:pPr>
              <w:pStyle w:val="20"/>
            </w:pPr>
            <w:r>
              <w:t>2130.34</w:t>
            </w:r>
          </w:p>
        </w:tc>
        <w:tc>
          <w:tcPr>
            <w:tcW w:w="1474" w:type="dxa"/>
            <w:vAlign w:val="center"/>
          </w:tcPr>
          <w:p>
            <w:pPr>
              <w:pStyle w:val="20"/>
            </w:pPr>
            <w:r>
              <w:t>2130.34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2130.34</w:t>
            </w:r>
          </w:p>
        </w:tc>
        <w:tc>
          <w:tcPr>
            <w:tcW w:w="3402" w:type="dxa"/>
            <w:vAlign w:val="center"/>
          </w:tcPr>
          <w:p>
            <w:pPr>
              <w:pStyle w:val="19"/>
            </w:pPr>
            <w:r>
              <w:t>支出总计</w:t>
            </w:r>
          </w:p>
        </w:tc>
        <w:tc>
          <w:tcPr>
            <w:tcW w:w="1474" w:type="dxa"/>
            <w:vAlign w:val="center"/>
          </w:tcPr>
          <w:p>
            <w:pPr>
              <w:pStyle w:val="20"/>
            </w:pPr>
            <w:r>
              <w:t>2130.34</w:t>
            </w:r>
          </w:p>
        </w:tc>
        <w:tc>
          <w:tcPr>
            <w:tcW w:w="1474" w:type="dxa"/>
            <w:vAlign w:val="center"/>
          </w:tcPr>
          <w:p>
            <w:pPr>
              <w:pStyle w:val="20"/>
            </w:pPr>
            <w:r>
              <w:t>2130.34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2130.34</w:t>
            </w:r>
          </w:p>
        </w:tc>
        <w:tc>
          <w:tcPr>
            <w:tcW w:w="2551" w:type="dxa"/>
            <w:vAlign w:val="center"/>
          </w:tcPr>
          <w:p>
            <w:pPr>
              <w:pStyle w:val="20"/>
            </w:pPr>
            <w:r>
              <w:t>1798.34</w:t>
            </w:r>
          </w:p>
        </w:tc>
        <w:tc>
          <w:tcPr>
            <w:tcW w:w="2551" w:type="dxa"/>
            <w:vAlign w:val="center"/>
          </w:tcPr>
          <w:p>
            <w:pPr>
              <w:pStyle w:val="20"/>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1692.95</w:t>
            </w:r>
          </w:p>
        </w:tc>
        <w:tc>
          <w:tcPr>
            <w:tcW w:w="2551" w:type="dxa"/>
            <w:vAlign w:val="center"/>
          </w:tcPr>
          <w:p>
            <w:pPr>
              <w:pStyle w:val="16"/>
            </w:pPr>
            <w:r>
              <w:t>1360.95</w:t>
            </w: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1692.95</w:t>
            </w:r>
          </w:p>
        </w:tc>
        <w:tc>
          <w:tcPr>
            <w:tcW w:w="2551" w:type="dxa"/>
            <w:vAlign w:val="center"/>
          </w:tcPr>
          <w:p>
            <w:pPr>
              <w:pStyle w:val="16"/>
            </w:pPr>
            <w:r>
              <w:t>1360.95</w:t>
            </w: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2011101</w:t>
            </w:r>
          </w:p>
        </w:tc>
        <w:tc>
          <w:tcPr>
            <w:tcW w:w="4535" w:type="dxa"/>
            <w:vAlign w:val="center"/>
          </w:tcPr>
          <w:p>
            <w:pPr>
              <w:pStyle w:val="17"/>
            </w:pPr>
            <w:r>
              <w:t>行政运行</w:t>
            </w:r>
          </w:p>
        </w:tc>
        <w:tc>
          <w:tcPr>
            <w:tcW w:w="2551" w:type="dxa"/>
            <w:vAlign w:val="center"/>
          </w:tcPr>
          <w:p>
            <w:pPr>
              <w:pStyle w:val="16"/>
            </w:pPr>
            <w:r>
              <w:t>1360.95</w:t>
            </w:r>
          </w:p>
        </w:tc>
        <w:tc>
          <w:tcPr>
            <w:tcW w:w="2551" w:type="dxa"/>
            <w:vAlign w:val="center"/>
          </w:tcPr>
          <w:p>
            <w:pPr>
              <w:pStyle w:val="16"/>
            </w:pPr>
            <w:r>
              <w:t>1360.95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2011102</w:t>
            </w:r>
          </w:p>
        </w:tc>
        <w:tc>
          <w:tcPr>
            <w:tcW w:w="4535" w:type="dxa"/>
            <w:vAlign w:val="center"/>
          </w:tcPr>
          <w:p>
            <w:pPr>
              <w:pStyle w:val="17"/>
            </w:pPr>
            <w:r>
              <w:t>一般行政管理事务</w:t>
            </w:r>
          </w:p>
        </w:tc>
        <w:tc>
          <w:tcPr>
            <w:tcW w:w="2551" w:type="dxa"/>
            <w:vAlign w:val="center"/>
          </w:tcPr>
          <w:p>
            <w:pPr>
              <w:pStyle w:val="16"/>
            </w:pPr>
            <w:r>
              <w:t>332.00</w:t>
            </w:r>
          </w:p>
        </w:tc>
        <w:tc>
          <w:tcPr>
            <w:tcW w:w="2551" w:type="dxa"/>
            <w:vAlign w:val="center"/>
          </w:tcPr>
          <w:p>
            <w:pPr>
              <w:pStyle w:val="16"/>
            </w:pP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187.73</w:t>
            </w:r>
          </w:p>
        </w:tc>
        <w:tc>
          <w:tcPr>
            <w:tcW w:w="2551" w:type="dxa"/>
            <w:vAlign w:val="center"/>
          </w:tcPr>
          <w:p>
            <w:pPr>
              <w:pStyle w:val="16"/>
            </w:pPr>
            <w:r>
              <w:t>187.73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187.73</w:t>
            </w:r>
          </w:p>
        </w:tc>
        <w:tc>
          <w:tcPr>
            <w:tcW w:w="2551" w:type="dxa"/>
            <w:vAlign w:val="center"/>
          </w:tcPr>
          <w:p>
            <w:pPr>
              <w:pStyle w:val="16"/>
            </w:pPr>
            <w:r>
              <w:t>187.73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82.91</w:t>
            </w:r>
          </w:p>
        </w:tc>
        <w:tc>
          <w:tcPr>
            <w:tcW w:w="2551" w:type="dxa"/>
            <w:vAlign w:val="center"/>
          </w:tcPr>
          <w:p>
            <w:pPr>
              <w:pStyle w:val="16"/>
            </w:pPr>
            <w:r>
              <w:t>82.91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104.82</w:t>
            </w:r>
          </w:p>
        </w:tc>
        <w:tc>
          <w:tcPr>
            <w:tcW w:w="2551" w:type="dxa"/>
            <w:vAlign w:val="center"/>
          </w:tcPr>
          <w:p>
            <w:pPr>
              <w:pStyle w:val="16"/>
            </w:pPr>
            <w:r>
              <w:t>104.82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1798.34</w:t>
            </w:r>
          </w:p>
        </w:tc>
        <w:tc>
          <w:tcPr>
            <w:tcW w:w="2551" w:type="dxa"/>
            <w:vAlign w:val="center"/>
          </w:tcPr>
          <w:p>
            <w:pPr>
              <w:pStyle w:val="20"/>
            </w:pPr>
            <w:r>
              <w:t>1509.62</w:t>
            </w:r>
          </w:p>
        </w:tc>
        <w:tc>
          <w:tcPr>
            <w:tcW w:w="2551" w:type="dxa"/>
            <w:vAlign w:val="center"/>
          </w:tcPr>
          <w:p>
            <w:pPr>
              <w:pStyle w:val="20"/>
            </w:pPr>
            <w:r>
              <w:t>288.73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1427.90</w:t>
            </w:r>
          </w:p>
        </w:tc>
        <w:tc>
          <w:tcPr>
            <w:tcW w:w="2551" w:type="dxa"/>
            <w:vAlign w:val="center"/>
          </w:tcPr>
          <w:p>
            <w:pPr>
              <w:pStyle w:val="16"/>
            </w:pPr>
            <w:r>
              <w:t>1427.90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367.51</w:t>
            </w:r>
          </w:p>
        </w:tc>
        <w:tc>
          <w:tcPr>
            <w:tcW w:w="2551" w:type="dxa"/>
            <w:vAlign w:val="center"/>
          </w:tcPr>
          <w:p>
            <w:pPr>
              <w:pStyle w:val="16"/>
            </w:pPr>
            <w:r>
              <w:t>367.51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351.40</w:t>
            </w:r>
          </w:p>
        </w:tc>
        <w:tc>
          <w:tcPr>
            <w:tcW w:w="2551" w:type="dxa"/>
            <w:vAlign w:val="center"/>
          </w:tcPr>
          <w:p>
            <w:pPr>
              <w:pStyle w:val="16"/>
            </w:pPr>
            <w:r>
              <w:t>351.40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29.38</w:t>
            </w:r>
          </w:p>
        </w:tc>
        <w:tc>
          <w:tcPr>
            <w:tcW w:w="2551" w:type="dxa"/>
            <w:vAlign w:val="center"/>
          </w:tcPr>
          <w:p>
            <w:pPr>
              <w:pStyle w:val="16"/>
            </w:pPr>
            <w:r>
              <w:t>29.38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12.06</w:t>
            </w:r>
          </w:p>
        </w:tc>
        <w:tc>
          <w:tcPr>
            <w:tcW w:w="2551" w:type="dxa"/>
            <w:vAlign w:val="center"/>
          </w:tcPr>
          <w:p>
            <w:pPr>
              <w:pStyle w:val="16"/>
            </w:pPr>
            <w:r>
              <w:t>12.06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104.82</w:t>
            </w:r>
          </w:p>
        </w:tc>
        <w:tc>
          <w:tcPr>
            <w:tcW w:w="2551" w:type="dxa"/>
            <w:vAlign w:val="center"/>
          </w:tcPr>
          <w:p>
            <w:pPr>
              <w:pStyle w:val="16"/>
            </w:pPr>
            <w:r>
              <w:t>104.82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57.09</w:t>
            </w:r>
          </w:p>
        </w:tc>
        <w:tc>
          <w:tcPr>
            <w:tcW w:w="2551" w:type="dxa"/>
            <w:vAlign w:val="center"/>
          </w:tcPr>
          <w:p>
            <w:pPr>
              <w:pStyle w:val="16"/>
            </w:pPr>
            <w:r>
              <w:t>57.09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44.18</w:t>
            </w:r>
          </w:p>
        </w:tc>
        <w:tc>
          <w:tcPr>
            <w:tcW w:w="2551" w:type="dxa"/>
            <w:vAlign w:val="center"/>
          </w:tcPr>
          <w:p>
            <w:pPr>
              <w:pStyle w:val="16"/>
            </w:pPr>
            <w:r>
              <w:t>44.18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3.46</w:t>
            </w:r>
          </w:p>
        </w:tc>
        <w:tc>
          <w:tcPr>
            <w:tcW w:w="2551" w:type="dxa"/>
            <w:vAlign w:val="center"/>
          </w:tcPr>
          <w:p>
            <w:pPr>
              <w:pStyle w:val="16"/>
            </w:pPr>
            <w:r>
              <w:t>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309.60</w:t>
            </w:r>
          </w:p>
        </w:tc>
        <w:tc>
          <w:tcPr>
            <w:tcW w:w="2551" w:type="dxa"/>
            <w:vAlign w:val="center"/>
          </w:tcPr>
          <w:p>
            <w:pPr>
              <w:pStyle w:val="16"/>
            </w:pPr>
            <w:r>
              <w:t>309.60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284.73</w:t>
            </w:r>
          </w:p>
        </w:tc>
        <w:tc>
          <w:tcPr>
            <w:tcW w:w="2551" w:type="dxa"/>
            <w:vAlign w:val="center"/>
          </w:tcPr>
          <w:p>
            <w:pPr>
              <w:pStyle w:val="16"/>
            </w:pPr>
          </w:p>
        </w:tc>
        <w:tc>
          <w:tcPr>
            <w:tcW w:w="2551" w:type="dxa"/>
            <w:vAlign w:val="center"/>
          </w:tcPr>
          <w:p>
            <w:pPr>
              <w:pStyle w:val="16"/>
            </w:pPr>
            <w:r>
              <w:t>284.73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31.80</w:t>
            </w:r>
          </w:p>
        </w:tc>
        <w:tc>
          <w:tcPr>
            <w:tcW w:w="2551" w:type="dxa"/>
            <w:vAlign w:val="center"/>
          </w:tcPr>
          <w:p>
            <w:pPr>
              <w:pStyle w:val="16"/>
            </w:pPr>
          </w:p>
        </w:tc>
        <w:tc>
          <w:tcPr>
            <w:tcW w:w="2551" w:type="dxa"/>
            <w:vAlign w:val="center"/>
          </w:tcPr>
          <w:p>
            <w:pPr>
              <w:pStyle w:val="16"/>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51.65</w:t>
            </w:r>
          </w:p>
        </w:tc>
        <w:tc>
          <w:tcPr>
            <w:tcW w:w="2551" w:type="dxa"/>
            <w:vAlign w:val="center"/>
          </w:tcPr>
          <w:p>
            <w:pPr>
              <w:pStyle w:val="16"/>
            </w:pPr>
          </w:p>
        </w:tc>
        <w:tc>
          <w:tcPr>
            <w:tcW w:w="2551" w:type="dxa"/>
            <w:vAlign w:val="center"/>
          </w:tcPr>
          <w:p>
            <w:pPr>
              <w:pStyle w:val="16"/>
            </w:pPr>
            <w:r>
              <w:t>51.65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30227</w:t>
            </w:r>
          </w:p>
        </w:tc>
        <w:tc>
          <w:tcPr>
            <w:tcW w:w="4535" w:type="dxa"/>
            <w:vAlign w:val="center"/>
          </w:tcPr>
          <w:p>
            <w:pPr>
              <w:pStyle w:val="17"/>
            </w:pPr>
            <w:r>
              <w:t>委托业务费</w:t>
            </w:r>
          </w:p>
        </w:tc>
        <w:tc>
          <w:tcPr>
            <w:tcW w:w="2551" w:type="dxa"/>
            <w:vAlign w:val="center"/>
          </w:tcPr>
          <w:p>
            <w:pPr>
              <w:pStyle w:val="16"/>
            </w:pPr>
            <w:r>
              <w:t>94.69</w:t>
            </w:r>
          </w:p>
        </w:tc>
        <w:tc>
          <w:tcPr>
            <w:tcW w:w="2551" w:type="dxa"/>
            <w:vAlign w:val="center"/>
          </w:tcPr>
          <w:p>
            <w:pPr>
              <w:pStyle w:val="16"/>
            </w:pPr>
          </w:p>
        </w:tc>
        <w:tc>
          <w:tcPr>
            <w:tcW w:w="2551" w:type="dxa"/>
            <w:vAlign w:val="center"/>
          </w:tcPr>
          <w:p>
            <w:pPr>
              <w:pStyle w:val="16"/>
            </w:pPr>
            <w:r>
              <w:t>94.69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9.19</w:t>
            </w:r>
          </w:p>
        </w:tc>
        <w:tc>
          <w:tcPr>
            <w:tcW w:w="2551" w:type="dxa"/>
            <w:vAlign w:val="center"/>
          </w:tcPr>
          <w:p>
            <w:pPr>
              <w:pStyle w:val="16"/>
            </w:pPr>
          </w:p>
        </w:tc>
        <w:tc>
          <w:tcPr>
            <w:tcW w:w="2551" w:type="dxa"/>
            <w:vAlign w:val="center"/>
          </w:tcPr>
          <w:p>
            <w:pPr>
              <w:pStyle w:val="16"/>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13.50</w:t>
            </w:r>
          </w:p>
        </w:tc>
        <w:tc>
          <w:tcPr>
            <w:tcW w:w="2551" w:type="dxa"/>
            <w:vAlign w:val="center"/>
          </w:tcPr>
          <w:p>
            <w:pPr>
              <w:pStyle w:val="16"/>
            </w:pPr>
          </w:p>
        </w:tc>
        <w:tc>
          <w:tcPr>
            <w:tcW w:w="2551" w:type="dxa"/>
            <w:vAlign w:val="center"/>
          </w:tcPr>
          <w:p>
            <w:pPr>
              <w:pStyle w:val="16"/>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57.42</w:t>
            </w:r>
          </w:p>
        </w:tc>
        <w:tc>
          <w:tcPr>
            <w:tcW w:w="2551" w:type="dxa"/>
            <w:vAlign w:val="center"/>
          </w:tcPr>
          <w:p>
            <w:pPr>
              <w:pStyle w:val="16"/>
            </w:pPr>
          </w:p>
        </w:tc>
        <w:tc>
          <w:tcPr>
            <w:tcW w:w="2551" w:type="dxa"/>
            <w:vAlign w:val="center"/>
          </w:tcPr>
          <w:p>
            <w:pPr>
              <w:pStyle w:val="16"/>
            </w:pPr>
            <w:r>
              <w:t>57.42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4.42</w:t>
            </w:r>
          </w:p>
        </w:tc>
        <w:tc>
          <w:tcPr>
            <w:tcW w:w="2551" w:type="dxa"/>
            <w:vAlign w:val="center"/>
          </w:tcPr>
          <w:p>
            <w:pPr>
              <w:pStyle w:val="16"/>
            </w:pPr>
          </w:p>
        </w:tc>
        <w:tc>
          <w:tcPr>
            <w:tcW w:w="2551" w:type="dxa"/>
            <w:vAlign w:val="center"/>
          </w:tcPr>
          <w:p>
            <w:pPr>
              <w:pStyle w:val="16"/>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81.71</w:t>
            </w:r>
          </w:p>
        </w:tc>
        <w:tc>
          <w:tcPr>
            <w:tcW w:w="2551" w:type="dxa"/>
            <w:vAlign w:val="center"/>
          </w:tcPr>
          <w:p>
            <w:pPr>
              <w:pStyle w:val="16"/>
            </w:pPr>
            <w:r>
              <w:t>81.71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21.71</w:t>
            </w:r>
          </w:p>
        </w:tc>
        <w:tc>
          <w:tcPr>
            <w:tcW w:w="2551" w:type="dxa"/>
            <w:vAlign w:val="center"/>
          </w:tcPr>
          <w:p>
            <w:pPr>
              <w:pStyle w:val="16"/>
            </w:pPr>
            <w:r>
              <w:t>21.71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30399</w:t>
            </w:r>
          </w:p>
        </w:tc>
        <w:tc>
          <w:tcPr>
            <w:tcW w:w="4535" w:type="dxa"/>
            <w:vAlign w:val="center"/>
          </w:tcPr>
          <w:p>
            <w:pPr>
              <w:pStyle w:val="17"/>
            </w:pPr>
            <w:r>
              <w:t>其他对个人和家庭的补助</w:t>
            </w:r>
          </w:p>
        </w:tc>
        <w:tc>
          <w:tcPr>
            <w:tcW w:w="2551" w:type="dxa"/>
            <w:vAlign w:val="center"/>
          </w:tcPr>
          <w:p>
            <w:pPr>
              <w:pStyle w:val="16"/>
            </w:pPr>
            <w:r>
              <w:t>58.48</w:t>
            </w:r>
          </w:p>
        </w:tc>
        <w:tc>
          <w:tcPr>
            <w:tcW w:w="2551" w:type="dxa"/>
            <w:vAlign w:val="center"/>
          </w:tcPr>
          <w:p>
            <w:pPr>
              <w:pStyle w:val="16"/>
            </w:pPr>
            <w:r>
              <w:t>58.48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28.60</w:t>
            </w:r>
          </w:p>
        </w:tc>
        <w:tc>
          <w:tcPr>
            <w:tcW w:w="2381" w:type="dxa"/>
            <w:vAlign w:val="center"/>
          </w:tcPr>
          <w:p>
            <w:pPr>
              <w:pStyle w:val="20"/>
            </w:pPr>
            <w:r>
              <w:t>28.60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28.60</w:t>
            </w:r>
          </w:p>
        </w:tc>
        <w:tc>
          <w:tcPr>
            <w:tcW w:w="2381" w:type="dxa"/>
            <w:vAlign w:val="center"/>
          </w:tcPr>
          <w:p>
            <w:pPr>
              <w:pStyle w:val="16"/>
            </w:pPr>
            <w:r>
              <w:t>28.60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r>
              <w:t>26.60</w:t>
            </w:r>
          </w:p>
        </w:tc>
        <w:tc>
          <w:tcPr>
            <w:tcW w:w="2381" w:type="dxa"/>
            <w:vAlign w:val="center"/>
          </w:tcPr>
          <w:p>
            <w:pPr>
              <w:pStyle w:val="16"/>
            </w:pPr>
            <w:r>
              <w:t>26.60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r>
              <w:t>21.60</w:t>
            </w:r>
          </w:p>
        </w:tc>
        <w:tc>
          <w:tcPr>
            <w:tcW w:w="2381" w:type="dxa"/>
            <w:vAlign w:val="center"/>
          </w:tcPr>
          <w:p>
            <w:pPr>
              <w:pStyle w:val="16"/>
            </w:pPr>
            <w:r>
              <w:t>21.60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中国共产党石家庄市鹿泉区纪律检查委员会</w:t>
      </w:r>
    </w:p>
    <w:p>
      <w:pPr>
        <w:jc w:val="center"/>
      </w:pPr>
      <w:r>
        <w:rPr>
          <w:rFonts w:ascii="方正小标宋_GBK" w:hAnsi="方正小标宋_GBK" w:eastAsia="方正小标宋_GBK" w:cs="方正小标宋_GBK"/>
          <w:color w:val="000000"/>
          <w:sz w:val="44"/>
        </w:rPr>
        <w:t>2022年部门预算信息公开情况说明</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eastAsia="方正仿宋_GBK"/>
          <w:color w:val="000000"/>
          <w:sz w:val="28"/>
        </w:rPr>
      </w:pPr>
      <w:r>
        <w:rPr>
          <w:rFonts w:eastAsia="方正仿宋_GBK"/>
          <w:color w:val="000000"/>
          <w:sz w:val="28"/>
        </w:rPr>
        <w:t>按照《预算法》、《地方预决算公开操作规程》和《关于进一步推进预算公开工作的实施意见》规定，现将中国共产党石家庄市鹿泉区纪律检查委员会2022年部门预算公开如下：</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outlineLvl w:val="2"/>
        <w:rPr>
          <w:rFonts w:hint="eastAsia" w:ascii="黑体" w:hAnsi="黑体" w:eastAsia="黑体"/>
          <w:kern w:val="2"/>
          <w:sz w:val="32"/>
          <w:szCs w:val="22"/>
          <w:lang w:eastAsia="zh-CN"/>
        </w:rPr>
      </w:pPr>
      <w:bookmarkStart w:id="9" w:name="_Toc_3_3_0000000010"/>
      <w:r>
        <w:rPr>
          <w:rFonts w:hint="eastAsia" w:ascii="黑体" w:hAnsi="黑体" w:eastAsia="黑体"/>
          <w:kern w:val="2"/>
          <w:sz w:val="32"/>
          <w:szCs w:val="22"/>
          <w:lang w:eastAsia="zh-CN"/>
        </w:rPr>
        <w:t>一、部门职责及机构设置情况</w:t>
      </w:r>
      <w:bookmarkEnd w:id="9"/>
    </w:p>
    <w:p>
      <w:pPr>
        <w:keepNext w:val="0"/>
        <w:keepLines w:val="0"/>
        <w:pageBreakBefore w:val="0"/>
        <w:kinsoku/>
        <w:wordWrap/>
        <w:overflowPunct/>
        <w:topLinePunct w:val="0"/>
        <w:autoSpaceDE/>
        <w:autoSpaceDN/>
        <w:bidi w:val="0"/>
        <w:adjustRightInd/>
        <w:snapToGrid/>
        <w:spacing w:line="580" w:lineRule="exact"/>
        <w:ind w:firstLine="640"/>
        <w:textAlignment w:val="auto"/>
      </w:pPr>
      <w:r>
        <w:rPr>
          <w:rFonts w:ascii="方正楷体_GBK" w:hAnsi="方正楷体_GBK" w:eastAsia="方正楷体_GBK" w:cs="方正楷体_GBK"/>
          <w:b/>
          <w:color w:val="000000"/>
          <w:sz w:val="32"/>
        </w:rPr>
        <w:t>部门职责：</w:t>
      </w:r>
    </w:p>
    <w:p>
      <w:pPr>
        <w:pStyle w:val="22"/>
        <w:keepNext w:val="0"/>
        <w:keepLines w:val="0"/>
        <w:pageBreakBefore w:val="0"/>
        <w:kinsoku/>
        <w:wordWrap/>
        <w:overflowPunct/>
        <w:topLinePunct w:val="0"/>
        <w:autoSpaceDE/>
        <w:autoSpaceDN/>
        <w:bidi w:val="0"/>
        <w:adjustRightInd/>
        <w:snapToGrid/>
        <w:spacing w:line="580" w:lineRule="exact"/>
        <w:textAlignment w:val="auto"/>
      </w:pPr>
      <w:r>
        <w:t>（一）负责全区党的纪律检查工作。贯彻落实党中央和</w:t>
      </w:r>
      <w:r>
        <w:rPr>
          <w:rFonts w:hint="eastAsia"/>
          <w:lang w:eastAsia="zh-CN"/>
        </w:rPr>
        <w:t>区</w:t>
      </w:r>
      <w:r>
        <w:t>委、市委、区委关于纪律检查工作的决策部署，维护党的章程和其他党内法规，检查党的路线方针政策和决议的执行情况，协助区委推进全面从严治党、加强党风建设和组织协调反腐败工作。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2"/>
        <w:keepNext w:val="0"/>
        <w:keepLines w:val="0"/>
        <w:pageBreakBefore w:val="0"/>
        <w:kinsoku/>
        <w:wordWrap/>
        <w:overflowPunct/>
        <w:topLinePunct w:val="0"/>
        <w:autoSpaceDE/>
        <w:autoSpaceDN/>
        <w:bidi w:val="0"/>
        <w:adjustRightInd/>
        <w:snapToGrid/>
        <w:spacing w:line="580" w:lineRule="exact"/>
        <w:textAlignment w:val="auto"/>
      </w:pPr>
      <w:r>
        <w:t>（三）支持配合巡视、巡察工作。承担巡视、巡察整改日常监督责任，做好巡视、巡察整改督查督办工作，依规依纪依法处置巡视、巡察移交的反映领导干部问题线索。</w:t>
      </w:r>
    </w:p>
    <w:p>
      <w:pPr>
        <w:pStyle w:val="22"/>
        <w:keepNext w:val="0"/>
        <w:keepLines w:val="0"/>
        <w:pageBreakBefore w:val="0"/>
        <w:kinsoku/>
        <w:wordWrap/>
        <w:overflowPunct/>
        <w:topLinePunct w:val="0"/>
        <w:autoSpaceDE/>
        <w:autoSpaceDN/>
        <w:bidi w:val="0"/>
        <w:adjustRightInd/>
        <w:snapToGrid/>
        <w:spacing w:line="580" w:lineRule="exact"/>
        <w:textAlignment w:val="auto"/>
      </w:pPr>
      <w:r>
        <w:t>（四）负责全区监察工作。贯彻落实党中央和</w:t>
      </w:r>
      <w:r>
        <w:rPr>
          <w:rFonts w:hint="eastAsia"/>
          <w:lang w:eastAsia="zh-CN"/>
        </w:rPr>
        <w:t>区</w:t>
      </w:r>
      <w:r>
        <w:t>委、市委、区委关于监察工作的决策部署，维护宪法法律，依法对区委管理的行使公权力的公职人员进行监察，调查职务违法和职务犯罪，开展廉政建设和反腐败工作。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2"/>
        <w:keepNext w:val="0"/>
        <w:keepLines w:val="0"/>
        <w:pageBreakBefore w:val="0"/>
        <w:kinsoku/>
        <w:wordWrap/>
        <w:overflowPunct/>
        <w:topLinePunct w:val="0"/>
        <w:autoSpaceDE/>
        <w:autoSpaceDN/>
        <w:bidi w:val="0"/>
        <w:adjustRightInd/>
        <w:snapToGrid/>
        <w:spacing w:line="580" w:lineRule="exact"/>
        <w:textAlignment w:val="auto"/>
      </w:pPr>
      <w:r>
        <w:t>（六）负责组织协调全面从严治党、党风廉政建设和反腐败宣传教育工作。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（七）负责综合分析全面从严治党、党风廉政建设和反腐败工作情况，对纪检监察工作重要理论及实践问题进行调查研究；制定或者修改全区纪检监察制度规定，参与起草有关规范性文件。</w:t>
      </w:r>
    </w:p>
    <w:p>
      <w:pPr>
        <w:pStyle w:val="22"/>
        <w:keepNext w:val="0"/>
        <w:keepLines w:val="0"/>
        <w:pageBreakBefore w:val="0"/>
        <w:kinsoku/>
        <w:wordWrap/>
        <w:overflowPunct/>
        <w:topLinePunct w:val="0"/>
        <w:autoSpaceDE/>
        <w:autoSpaceDN/>
        <w:bidi w:val="0"/>
        <w:adjustRightInd/>
        <w:snapToGrid/>
        <w:spacing w:line="580" w:lineRule="exact"/>
        <w:textAlignment w:val="auto"/>
      </w:pPr>
      <w:r>
        <w:t>（八）负责组织协调全区反腐败追逃追赃和防逃工作，督促有关单位做好相关工作。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pPr>
        <w:pStyle w:val="22"/>
        <w:keepNext w:val="0"/>
        <w:keepLines w:val="0"/>
        <w:pageBreakBefore w:val="0"/>
        <w:kinsoku/>
        <w:wordWrap/>
        <w:overflowPunct/>
        <w:topLinePunct w:val="0"/>
        <w:autoSpaceDE/>
        <w:autoSpaceDN/>
        <w:bidi w:val="0"/>
        <w:adjustRightInd/>
        <w:snapToGrid/>
        <w:spacing w:line="580" w:lineRule="exact"/>
        <w:textAlignment w:val="auto"/>
      </w:pPr>
      <w:r>
        <w:t>（十）完成市纪委监委、区委交办的其他任务。</w:t>
      </w:r>
    </w:p>
    <w:p>
      <w:pPr>
        <w:pStyle w:val="22"/>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单位名称</w:t>
            </w:r>
          </w:p>
        </w:tc>
        <w:tc>
          <w:tcPr>
            <w:tcW w:w="1843"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单位性质</w:t>
            </w:r>
          </w:p>
        </w:tc>
        <w:tc>
          <w:tcPr>
            <w:tcW w:w="2126"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单位规格</w:t>
            </w:r>
          </w:p>
        </w:tc>
        <w:tc>
          <w:tcPr>
            <w:tcW w:w="3827"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中国共产党石家庄市鹿泉区纪律检查委员会本级</w:t>
            </w:r>
          </w:p>
        </w:tc>
        <w:tc>
          <w:tcPr>
            <w:tcW w:w="1843"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行政机关</w:t>
            </w:r>
          </w:p>
        </w:tc>
        <w:tc>
          <w:tcPr>
            <w:tcW w:w="2126"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副处（县）级</w:t>
            </w:r>
          </w:p>
        </w:tc>
        <w:tc>
          <w:tcPr>
            <w:tcW w:w="3827"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石家庄市</w:t>
            </w:r>
            <w:r>
              <w:rPr>
                <w:rFonts w:ascii="方正书宋_GBK" w:eastAsia="方正书宋_GBK"/>
                <w:sz w:val="21"/>
                <w:szCs w:val="21"/>
              </w:rPr>
              <w:t>鹿泉区委廉政教育中心（</w:t>
            </w:r>
            <w:r>
              <w:rPr>
                <w:rFonts w:hint="eastAsia" w:ascii="方正书宋_GBK" w:eastAsia="方正书宋_GBK"/>
                <w:sz w:val="21"/>
                <w:szCs w:val="21"/>
              </w:rPr>
              <w:t>不独立</w:t>
            </w:r>
            <w:r>
              <w:rPr>
                <w:rFonts w:ascii="方正书宋_GBK" w:eastAsia="方正书宋_GBK"/>
                <w:sz w:val="21"/>
                <w:szCs w:val="21"/>
              </w:rPr>
              <w:t>核算，统一纳入区纪委核算）</w:t>
            </w:r>
          </w:p>
        </w:tc>
        <w:tc>
          <w:tcPr>
            <w:tcW w:w="1843"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全额</w:t>
            </w:r>
            <w:r>
              <w:rPr>
                <w:rFonts w:ascii="方正书宋_GBK" w:eastAsia="方正书宋_GBK"/>
                <w:sz w:val="21"/>
                <w:szCs w:val="21"/>
              </w:rPr>
              <w:t>事业</w:t>
            </w:r>
          </w:p>
        </w:tc>
        <w:tc>
          <w:tcPr>
            <w:tcW w:w="2126"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正科级</w:t>
            </w:r>
          </w:p>
        </w:tc>
        <w:tc>
          <w:tcPr>
            <w:tcW w:w="3827"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财政性</w:t>
            </w:r>
            <w:r>
              <w:rPr>
                <w:rFonts w:ascii="方正书宋_GBK" w:eastAsia="方正书宋_GBK"/>
                <w:sz w:val="21"/>
                <w:szCs w:val="21"/>
              </w:rPr>
              <w:t>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中共</w:t>
            </w:r>
            <w:r>
              <w:rPr>
                <w:rFonts w:ascii="方正书宋_GBK" w:eastAsia="方正书宋_GBK"/>
                <w:sz w:val="21"/>
                <w:szCs w:val="21"/>
              </w:rPr>
              <w:t>石家庄市鹿泉区委巡察工作领导小组</w:t>
            </w:r>
            <w:r>
              <w:rPr>
                <w:rFonts w:hint="eastAsia" w:ascii="方正书宋_GBK" w:eastAsia="方正书宋_GBK"/>
                <w:sz w:val="21"/>
                <w:szCs w:val="21"/>
              </w:rPr>
              <w:t>办公室</w:t>
            </w:r>
            <w:r>
              <w:rPr>
                <w:rFonts w:ascii="方正书宋_GBK" w:eastAsia="方正书宋_GBK"/>
                <w:sz w:val="21"/>
                <w:szCs w:val="21"/>
              </w:rPr>
              <w:t>（</w:t>
            </w:r>
            <w:r>
              <w:rPr>
                <w:rFonts w:hint="eastAsia" w:ascii="方正书宋_GBK" w:eastAsia="方正书宋_GBK"/>
                <w:sz w:val="21"/>
                <w:szCs w:val="21"/>
              </w:rPr>
              <w:t>区委</w:t>
            </w:r>
            <w:r>
              <w:rPr>
                <w:rFonts w:ascii="方正书宋_GBK" w:eastAsia="方正书宋_GBK"/>
                <w:sz w:val="21"/>
                <w:szCs w:val="21"/>
              </w:rPr>
              <w:t>工作机</w:t>
            </w:r>
            <w:r>
              <w:rPr>
                <w:rFonts w:hint="eastAsia" w:ascii="方正书宋_GBK" w:eastAsia="方正书宋_GBK"/>
                <w:sz w:val="21"/>
                <w:szCs w:val="21"/>
              </w:rPr>
              <w:t>关</w:t>
            </w:r>
            <w:r>
              <w:rPr>
                <w:rFonts w:ascii="方正书宋_GBK" w:eastAsia="方正书宋_GBK"/>
                <w:sz w:val="21"/>
                <w:szCs w:val="21"/>
              </w:rPr>
              <w:t>，设在区纪委）</w:t>
            </w:r>
          </w:p>
        </w:tc>
        <w:tc>
          <w:tcPr>
            <w:tcW w:w="1843"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行政</w:t>
            </w:r>
            <w:r>
              <w:rPr>
                <w:rFonts w:ascii="方正书宋_GBK" w:eastAsia="方正书宋_GBK"/>
                <w:sz w:val="21"/>
                <w:szCs w:val="21"/>
              </w:rPr>
              <w:t>机关</w:t>
            </w:r>
          </w:p>
        </w:tc>
        <w:tc>
          <w:tcPr>
            <w:tcW w:w="2126"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正科级</w:t>
            </w:r>
          </w:p>
        </w:tc>
        <w:tc>
          <w:tcPr>
            <w:tcW w:w="3827" w:type="dxa"/>
            <w:shd w:val="clear" w:color="auto" w:fill="auto"/>
            <w:noWrap w:val="0"/>
            <w:vAlign w:val="center"/>
          </w:tcPr>
          <w:p>
            <w:pPr>
              <w:spacing w:line="300" w:lineRule="exact"/>
              <w:ind w:firstLine="1365" w:firstLineChars="650"/>
              <w:rPr>
                <w:rFonts w:hint="eastAsia" w:ascii="方正书宋_GBK" w:eastAsia="方正书宋_GBK"/>
                <w:sz w:val="21"/>
                <w:szCs w:val="21"/>
              </w:rPr>
            </w:pPr>
            <w:r>
              <w:rPr>
                <w:rFonts w:hint="eastAsia" w:ascii="方正书宋_GBK" w:eastAsia="方正书宋_GBK"/>
                <w:sz w:val="21"/>
                <w:szCs w:val="21"/>
              </w:rPr>
              <w:t>财政</w:t>
            </w:r>
            <w:r>
              <w:rPr>
                <w:rFonts w:ascii="方正书宋_GBK" w:eastAsia="方正书宋_GBK"/>
                <w:sz w:val="21"/>
                <w:szCs w:val="21"/>
              </w:rPr>
              <w:t>拨款</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jc w:val="left"/>
        <w:textAlignment w:val="auto"/>
        <w:outlineLvl w:val="2"/>
        <w:rPr>
          <w:rFonts w:hint="eastAsia" w:ascii="黑体" w:hAnsi="黑体" w:eastAsia="黑体"/>
          <w:kern w:val="2"/>
          <w:sz w:val="32"/>
          <w:szCs w:val="22"/>
          <w:lang w:eastAsia="zh-CN"/>
        </w:rPr>
      </w:pPr>
      <w:bookmarkStart w:id="10" w:name="_Toc_3_3_0000000011"/>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2"/>
        <w:rPr>
          <w:rFonts w:hint="eastAsia" w:ascii="黑体" w:hAnsi="黑体" w:eastAsia="黑体"/>
          <w:kern w:val="2"/>
          <w:sz w:val="32"/>
          <w:szCs w:val="32"/>
          <w:lang w:eastAsia="zh-CN"/>
        </w:rPr>
      </w:pPr>
      <w:r>
        <w:rPr>
          <w:rFonts w:hint="eastAsia" w:ascii="黑体" w:hAnsi="黑体" w:eastAsia="黑体"/>
          <w:kern w:val="2"/>
          <w:sz w:val="32"/>
          <w:szCs w:val="32"/>
          <w:lang w:eastAsia="zh-CN"/>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部门预算的编制实行综合预算管理，即全部收入和支出都反映在预算中。中国共产党石家庄市鹿泉区纪律检查委员会机关</w:t>
      </w:r>
      <w:r>
        <w:rPr>
          <w:rFonts w:hint="eastAsia" w:eastAsia="方正仿宋_GBK"/>
          <w:color w:val="000000"/>
          <w:sz w:val="28"/>
          <w:lang w:eastAsia="zh-CN"/>
        </w:rPr>
        <w:t>、巡察办</w:t>
      </w:r>
      <w:r>
        <w:rPr>
          <w:rFonts w:eastAsia="方正仿宋_GBK"/>
          <w:color w:val="000000"/>
          <w:sz w:val="28"/>
        </w:rPr>
        <w:t>及所属事业单位的收支包含在部门预算中。</w:t>
      </w:r>
    </w:p>
    <w:p>
      <w:pPr>
        <w:pStyle w:val="23"/>
      </w:pPr>
      <w:r>
        <w:t>1、收入说明</w:t>
      </w:r>
    </w:p>
    <w:p>
      <w:pPr>
        <w:pStyle w:val="23"/>
      </w:pPr>
      <w:r>
        <w:t>反映本部门当年全部收入。2022年预算收入2130.34万元，其中：一般公共预算收入2130.34万元，基金预算收入0万元，财政专户核拨收入0万元，其他来源收入0万元。</w:t>
      </w:r>
    </w:p>
    <w:p>
      <w:pPr>
        <w:pStyle w:val="23"/>
      </w:pPr>
      <w:r>
        <w:t>2、支出说明</w:t>
      </w:r>
    </w:p>
    <w:p>
      <w:pPr>
        <w:pStyle w:val="23"/>
      </w:pPr>
      <w:r>
        <w:t>收支预算总表支出栏、基本支出表、项目支出表按经济分类和支出功能分类科目编制，反映中共鹿泉区纪律检查委员会年度部门预算中支出预算的总体情况。2022年部门支出预算为2130.34万元，其中基本支出1798.34万元，包括人员经费1509.62万元和日常公用经费288.72万元；项目支出332万元，主要为纪检监察业务费200万元，乡镇纪检监察业务费27万元，巡察巡视专项经费100万元，公务用车购置5万元。</w:t>
      </w:r>
    </w:p>
    <w:p>
      <w:pPr>
        <w:pStyle w:val="23"/>
      </w:pPr>
      <w:r>
        <w:t>3、比上年增减情况</w:t>
      </w:r>
    </w:p>
    <w:p>
      <w:pPr>
        <w:pStyle w:val="23"/>
      </w:pPr>
      <w:r>
        <w:t>2022年部门预算收支安排2130.34万元，较2021年减少1.47万元，其中：基本支出增加25.53万元，主要是人员增加，相应增加人员经费和日常公用经费；项目支出减少27万元，主要是减少了纪检内网终端安可替代工程50万元，纪检监察外网建设10万元，招待费2万元，合计减少62万元。增加了纪检监察业务费30万元，公务用车购置5万元。</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firstLine="641"/>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widowControl w:val="0"/>
        <w:spacing w:line="500" w:lineRule="exact"/>
        <w:ind w:firstLine="640"/>
        <w:jc w:val="both"/>
        <w:rPr>
          <w:rFonts w:ascii="Times New Roman" w:hAnsi="Times New Roman" w:eastAsia="方正仿宋_GBK"/>
          <w:kern w:val="2"/>
          <w:sz w:val="28"/>
          <w:szCs w:val="28"/>
          <w:lang w:val="en-US" w:eastAsia="uk-UA"/>
        </w:rPr>
      </w:pPr>
      <w:r>
        <w:rPr>
          <w:rFonts w:ascii="Times New Roman" w:hAnsi="Times New Roman" w:eastAsia="方正仿宋_GBK"/>
          <w:kern w:val="2"/>
          <w:sz w:val="28"/>
          <w:szCs w:val="28"/>
          <w:lang w:val="en-US" w:eastAsia="uk-UA"/>
        </w:rPr>
        <w:t>2022年，我部门机关运行经费共计安排288.72万元，主要用于保证机关正常运转的办公及印刷费、邮电费、差旅费、会议费、福利费、工会经费、委托业务费、一般设备购置费、日常维修费、公务车运行维护费、公务交通补贴、移动通讯补贴等支出。</w:t>
      </w:r>
      <w:bookmarkStart w:id="12" w:name="_Toc_3_3_0000000013"/>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firstLine="640" w:firstLineChars="200"/>
        <w:textAlignment w:val="auto"/>
        <w:outlineLvl w:val="2"/>
      </w:pPr>
      <w:r>
        <w:rPr>
          <w:rFonts w:ascii="黑体" w:hAnsi="黑体" w:eastAsia="黑体" w:cs="黑体"/>
          <w:color w:val="000000"/>
          <w:sz w:val="32"/>
        </w:rPr>
        <w:t>四、财政拨款“三公”经费预算情况及增减变化原因</w:t>
      </w:r>
      <w:bookmarkEnd w:id="12"/>
    </w:p>
    <w:p>
      <w:pPr>
        <w:pStyle w:val="25"/>
        <w:rPr>
          <w:rFonts w:hint="eastAsia" w:ascii="黑体" w:hAnsi="黑体" w:eastAsia="黑体"/>
          <w:kern w:val="2"/>
          <w:sz w:val="32"/>
          <w:szCs w:val="22"/>
          <w:lang w:eastAsia="zh-CN"/>
        </w:rPr>
      </w:pPr>
      <w:r>
        <w:t>2022年，我部门财政拨款“三公”经费预算安排28.6万元，其中：因公出国（境）费0万元；公务用车购置及运维费26.6万元（其中：公务用车购置费5万元，公务用车运行维护费21.6万元)；公务接待费2万元。“三公”经费比上年增加5.7万元，主要是增加了公务用车购置费和运行维护费。</w:t>
      </w:r>
      <w:bookmarkStart w:id="13" w:name="_Toc_3_3_0000000014"/>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640" w:firstLineChars="200"/>
        <w:jc w:val="left"/>
        <w:textAlignment w:val="auto"/>
        <w:outlineLvl w:val="2"/>
        <w:rPr>
          <w:rFonts w:hint="eastAsia" w:ascii="黑体" w:hAnsi="黑体" w:eastAsia="黑体"/>
          <w:kern w:val="2"/>
          <w:sz w:val="32"/>
          <w:szCs w:val="22"/>
          <w:lang w:eastAsia="zh-CN"/>
        </w:rPr>
      </w:pPr>
      <w:r>
        <w:rPr>
          <w:rFonts w:hint="eastAsia" w:ascii="黑体" w:hAnsi="黑体" w:eastAsia="黑体"/>
          <w:kern w:val="2"/>
          <w:sz w:val="32"/>
          <w:szCs w:val="22"/>
          <w:lang w:eastAsia="zh-CN"/>
        </w:rPr>
        <w:t>五、预算绩效信息</w:t>
      </w:r>
      <w:bookmarkEnd w:id="13"/>
    </w:p>
    <w:p>
      <w:pPr>
        <w:keepNext w:val="0"/>
        <w:keepLines w:val="0"/>
        <w:pageBreakBefore w:val="0"/>
        <w:widowControl/>
        <w:kinsoku/>
        <w:wordWrap/>
        <w:overflowPunct/>
        <w:topLinePunct w:val="0"/>
        <w:autoSpaceDE/>
        <w:autoSpaceDN/>
        <w:bidi w:val="0"/>
        <w:adjustRightInd/>
        <w:snapToGrid/>
        <w:spacing w:before="0" w:beforeLines="50" w:after="0" w:afterLines="50"/>
        <w:ind w:firstLine="641"/>
        <w:textAlignment w:val="auto"/>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2022年是党的二十大召开之年，是贯彻落实</w:t>
      </w:r>
      <w:r>
        <w:rPr>
          <w:rFonts w:hint="eastAsia"/>
          <w:lang w:eastAsia="zh-CN"/>
        </w:rPr>
        <w:t>区</w:t>
      </w:r>
      <w:r>
        <w:t>、市党代会精神和区党代会部署的关键之年，更是我区争创“六个国家级示范区”、打造千亿级电子信息产业集群，在全市经济总量过万亿新征程中走在前、做表率的突破之年，做好纪检监察工作责任重大，使命光荣。2022年工作的总体要求是，坚持以习近平新时代中国特色社会主义思想为指导，全面贯彻党的十九大和十九届历次全会精神，认真贯彻</w:t>
      </w:r>
      <w:r>
        <w:rPr>
          <w:rFonts w:hint="eastAsia"/>
          <w:lang w:eastAsia="zh-CN"/>
        </w:rPr>
        <w:t>区</w:t>
      </w:r>
      <w:r>
        <w:t>、市党代会精神和区党代会部署，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经济强区、魅力鹿泉、生态宜居宜业宜游新城区提供坚强政治保障。</w:t>
      </w:r>
    </w:p>
    <w:p>
      <w:pPr>
        <w:spacing w:line="500" w:lineRule="exact"/>
        <w:ind w:firstLine="560"/>
      </w:pPr>
      <w:r>
        <w:rPr>
          <w:rFonts w:eastAsia="方正仿宋_GBK"/>
          <w:color w:val="000000"/>
          <w:sz w:val="28"/>
        </w:rPr>
        <w:t>（二）分项绩效目标</w:t>
      </w:r>
    </w:p>
    <w:p>
      <w:pPr>
        <w:pStyle w:val="27"/>
      </w:pPr>
      <w:r>
        <w:t>1、</w:t>
      </w:r>
      <w:r>
        <w:rPr>
          <w:rFonts w:hint="eastAsia"/>
        </w:rPr>
        <w:t>坚定不移推进政治监督，督促做到“两个维护”</w:t>
      </w:r>
    </w:p>
    <w:p>
      <w:pPr>
        <w:pStyle w:val="27"/>
        <w:rPr>
          <w:rFonts w:hint="eastAsia" w:eastAsia="方正仿宋_GBK"/>
          <w:lang w:eastAsia="zh-CN"/>
        </w:rPr>
      </w:pPr>
      <w:r>
        <w:t>绩效目标：</w:t>
      </w:r>
      <w:r>
        <w:rPr>
          <w:rFonts w:hint="eastAsia"/>
        </w:rPr>
        <w:t>切实履行政治监督的根本职责，推动政治监督具体化、常态化。聚焦“两个确立”开展监督</w:t>
      </w:r>
      <w:r>
        <w:rPr>
          <w:rFonts w:hint="eastAsia"/>
          <w:lang w:eastAsia="zh-CN"/>
        </w:rPr>
        <w:t>，</w:t>
      </w:r>
      <w:r>
        <w:rPr>
          <w:rFonts w:hint="eastAsia"/>
        </w:rPr>
        <w:t>聚焦党中央重大决策部署和省、市、区委重点工作落实开展监督</w:t>
      </w:r>
      <w:r>
        <w:rPr>
          <w:rFonts w:hint="eastAsia"/>
          <w:lang w:eastAsia="zh-CN"/>
        </w:rPr>
        <w:t>，聚焦保障权力规范运行开展监督，督促各级党组织和党员干部始终以习近平新时代中国特色社会主义思想为指导，坚决拥护“两个确立”。</w:t>
      </w:r>
    </w:p>
    <w:p>
      <w:pPr>
        <w:pStyle w:val="27"/>
        <w:rPr>
          <w:rFonts w:hint="eastAsia" w:eastAsia="方正仿宋_GBK"/>
          <w:lang w:eastAsia="zh-CN"/>
        </w:rPr>
      </w:pPr>
      <w:r>
        <w:t>绩效指标：</w:t>
      </w:r>
      <w:r>
        <w:rPr>
          <w:rFonts w:hint="eastAsia"/>
        </w:rPr>
        <w:t>紧盯区委细化分解的42项重点任务，全程监督、精准监督、跟进监督</w:t>
      </w:r>
      <w:r>
        <w:rPr>
          <w:rFonts w:hint="eastAsia"/>
          <w:lang w:eastAsia="zh-CN"/>
        </w:rPr>
        <w:t>。监督检查、审查调查以及专项整治工作中，差旅费及人均差旅补助标准符合相关政策规定。</w:t>
      </w:r>
    </w:p>
    <w:p>
      <w:pPr>
        <w:pStyle w:val="27"/>
      </w:pPr>
      <w:r>
        <w:t>2、</w:t>
      </w:r>
      <w:r>
        <w:rPr>
          <w:rFonts w:hint="eastAsia"/>
        </w:rPr>
        <w:t>坚定不移深化反腐败斗争，一体推进不敢腐、不能腐、不想腐</w:t>
      </w:r>
    </w:p>
    <w:p>
      <w:pPr>
        <w:pStyle w:val="27"/>
        <w:rPr>
          <w:rFonts w:hint="eastAsia"/>
          <w:lang w:val="en-US" w:eastAsia="zh-CN"/>
        </w:rPr>
      </w:pPr>
      <w:r>
        <w:t>绩效目标：</w:t>
      </w:r>
      <w:r>
        <w:rPr>
          <w:rFonts w:hint="eastAsia"/>
        </w:rPr>
        <w:t>坚决落实习近平总书记关于反腐败斗争“四个任重道远”重大战略部署，坚定不移打好反腐败斗争攻坚战、持久战。突出查处腐败重点</w:t>
      </w:r>
      <w:r>
        <w:rPr>
          <w:rFonts w:hint="eastAsia"/>
          <w:lang w:eastAsia="zh-CN"/>
        </w:rPr>
        <w:t>。</w:t>
      </w:r>
      <w:r>
        <w:rPr>
          <w:rFonts w:hint="eastAsia"/>
          <w:lang w:val="en-US" w:eastAsia="zh-CN"/>
        </w:rPr>
        <w:t>把促改工作贯穿办案全过程，同步溯源收集情况，做深案件剖析，总结发案规律，推动问题整改。坚持以习近平法治思想为指导，严格按规定的时限、权限、程序和条件执纪执法。完善审理提前介入机制，强化对办案过程、事实认定、证据采信、处置意见的合法合规性审核。</w:t>
      </w:r>
    </w:p>
    <w:p>
      <w:pPr>
        <w:pStyle w:val="27"/>
        <w:rPr>
          <w:rFonts w:hint="default" w:eastAsia="方正仿宋_GBK"/>
          <w:lang w:val="en-US" w:eastAsia="zh-CN"/>
        </w:rPr>
      </w:pPr>
      <w:r>
        <w:t>绩效指标：</w:t>
      </w:r>
      <w:r>
        <w:rPr>
          <w:rFonts w:hint="eastAsia"/>
        </w:rPr>
        <w:t>通过观看警示片、通报典型案例等方式，警醒党员干部增强拒腐防变意识</w:t>
      </w:r>
      <w:r>
        <w:rPr>
          <w:rFonts w:hint="eastAsia"/>
          <w:lang w:eastAsia="zh-CN"/>
        </w:rPr>
        <w:t>。全年案件办结率不低于</w:t>
      </w:r>
      <w:r>
        <w:rPr>
          <w:rFonts w:hint="eastAsia"/>
          <w:lang w:val="en-US" w:eastAsia="zh-CN"/>
        </w:rPr>
        <w:t>85%，案件办结时限不超过3个月，群众满意度不低于90%。</w:t>
      </w:r>
    </w:p>
    <w:p>
      <w:pPr>
        <w:pStyle w:val="27"/>
        <w:rPr>
          <w:rFonts w:hint="eastAsia"/>
        </w:rPr>
      </w:pPr>
      <w:r>
        <w:t>3、</w:t>
      </w:r>
      <w:r>
        <w:rPr>
          <w:rFonts w:hint="eastAsia"/>
        </w:rPr>
        <w:t>深化整治“四风”顽疾，持续加固中央八项规定精神堤坝</w:t>
      </w:r>
    </w:p>
    <w:p>
      <w:pPr>
        <w:pStyle w:val="27"/>
      </w:pPr>
      <w:r>
        <w:t>绩效目标：</w:t>
      </w:r>
      <w:r>
        <w:rPr>
          <w:rFonts w:hint="eastAsia"/>
          <w:lang w:val="en-US" w:eastAsia="zh-CN"/>
        </w:rPr>
        <w:t>以开展深化纠正“四风”和作风纪律专项整治活动为重要抓手，扎实开展正风肃纪专项行动，突出常与长、严与实、深与细，坚决铲除滋生腐败的温床。大力整治形式主义、官僚主义，严肃查处享乐奢靡，坚决整治铺张浪费，坚持治树并举，弘扬新风正气。</w:t>
      </w:r>
    </w:p>
    <w:p>
      <w:pPr>
        <w:pStyle w:val="27"/>
        <w:rPr>
          <w:rFonts w:hint="default" w:eastAsia="方正仿宋_GBK"/>
          <w:lang w:val="en-US" w:eastAsia="zh-CN"/>
        </w:rPr>
      </w:pPr>
      <w:r>
        <w:t>绩效指标：</w:t>
      </w:r>
      <w:r>
        <w:rPr>
          <w:rFonts w:hint="eastAsia"/>
          <w:lang w:eastAsia="zh-CN"/>
        </w:rPr>
        <w:t>全年案件办结率不低于</w:t>
      </w:r>
      <w:r>
        <w:rPr>
          <w:rFonts w:hint="eastAsia"/>
          <w:lang w:val="en-US" w:eastAsia="zh-CN"/>
        </w:rPr>
        <w:t>85%，案件办结时限不超过3个月，群众满意度不低于90%，</w:t>
      </w:r>
      <w:r>
        <w:rPr>
          <w:rFonts w:hint="eastAsia"/>
          <w:lang w:eastAsia="zh-CN"/>
        </w:rPr>
        <w:t>案件持续发挥作用时间不低于</w:t>
      </w:r>
      <w:r>
        <w:rPr>
          <w:rFonts w:hint="eastAsia"/>
          <w:lang w:val="en-US" w:eastAsia="zh-CN"/>
        </w:rPr>
        <w:t>1年。</w:t>
      </w:r>
    </w:p>
    <w:p>
      <w:pPr>
        <w:pStyle w:val="27"/>
      </w:pPr>
      <w:r>
        <w:t>4、</w:t>
      </w:r>
      <w:r>
        <w:rPr>
          <w:rFonts w:hint="eastAsia"/>
        </w:rPr>
        <w:t>大力整治群众身边腐败和不正之风，维护人民群众切身利益</w:t>
      </w:r>
    </w:p>
    <w:p>
      <w:pPr>
        <w:pStyle w:val="27"/>
        <w:rPr>
          <w:rFonts w:hint="eastAsia"/>
          <w:lang w:val="en-US" w:eastAsia="zh-CN"/>
        </w:rPr>
      </w:pPr>
      <w:r>
        <w:t>绩效目标：</w:t>
      </w:r>
      <w:r>
        <w:rPr>
          <w:rFonts w:hint="eastAsia"/>
        </w:rPr>
        <w:t>大力开展民生领域腐败和作风问题集中整治</w:t>
      </w:r>
      <w:r>
        <w:rPr>
          <w:rFonts w:hint="eastAsia"/>
          <w:lang w:eastAsia="zh-CN"/>
        </w:rPr>
        <w:t>，加强对各项惠民利民、安民富民政策落实情况的监督。</w:t>
      </w:r>
      <w:r>
        <w:rPr>
          <w:rFonts w:hint="eastAsia"/>
          <w:lang w:val="en-US" w:eastAsia="zh-CN"/>
        </w:rPr>
        <w:t>加大乡村振兴监督检查力度，围绕过渡期加强监督，重点监督检查防止返贫动态监测和帮扶机制落实不到位等问题。大力提升监督质效。</w:t>
      </w:r>
    </w:p>
    <w:p>
      <w:pPr>
        <w:pStyle w:val="27"/>
        <w:rPr>
          <w:rFonts w:hint="eastAsia"/>
          <w:lang w:eastAsia="zh-CN"/>
        </w:rPr>
      </w:pPr>
      <w:r>
        <w:t>绩效指标：</w:t>
      </w:r>
      <w:r>
        <w:rPr>
          <w:rFonts w:hint="eastAsia"/>
          <w:lang w:eastAsia="zh-CN"/>
        </w:rPr>
        <w:t>“</w:t>
      </w:r>
      <w:r>
        <w:rPr>
          <w:rFonts w:hint="eastAsia"/>
        </w:rPr>
        <w:t>十一”前全域达到省级美丽乡村标准</w:t>
      </w:r>
      <w:r>
        <w:rPr>
          <w:rFonts w:hint="eastAsia"/>
          <w:lang w:eastAsia="zh-CN"/>
        </w:rPr>
        <w:t>，推动乡村两级监督加快从有形覆盖转为有效覆盖。</w:t>
      </w:r>
    </w:p>
    <w:p>
      <w:pPr>
        <w:pStyle w:val="27"/>
        <w:rPr>
          <w:rFonts w:hint="eastAsia"/>
          <w:lang w:val="en-US" w:eastAsia="zh-CN"/>
        </w:rPr>
      </w:pPr>
      <w:r>
        <w:rPr>
          <w:rFonts w:hint="eastAsia"/>
          <w:lang w:val="en-US" w:eastAsia="zh-CN"/>
        </w:rPr>
        <w:t xml:space="preserve">5、进一步深化纪检监察体制改革，加快制度优势转化为治理效能 </w:t>
      </w:r>
    </w:p>
    <w:p>
      <w:pPr>
        <w:pStyle w:val="27"/>
        <w:rPr>
          <w:rFonts w:hint="default"/>
          <w:lang w:val="en-US" w:eastAsia="zh-CN"/>
        </w:rPr>
      </w:pPr>
      <w:r>
        <w:rPr>
          <w:rFonts w:hint="default"/>
          <w:lang w:val="en-US" w:eastAsia="zh-CN"/>
        </w:rPr>
        <w:t>绩效目标：坚持抓深抓实纪检监察体制改革，将制度优势转化为治理效能，推动高质量发展。统筹推进各类监督形成合力</w:t>
      </w:r>
      <w:r>
        <w:rPr>
          <w:rFonts w:hint="eastAsia"/>
          <w:lang w:val="en-US" w:eastAsia="zh-CN"/>
        </w:rPr>
        <w:t>，持续深化政治巡察，进一步加强对乡镇纪委、派驻机构的领导。</w:t>
      </w:r>
    </w:p>
    <w:p>
      <w:pPr>
        <w:pStyle w:val="27"/>
        <w:rPr>
          <w:rFonts w:hint="default" w:eastAsia="方正仿宋_GBK"/>
          <w:lang w:val="en-US" w:eastAsia="zh-CN"/>
        </w:rPr>
      </w:pPr>
      <w:r>
        <w:rPr>
          <w:rFonts w:hint="default"/>
          <w:lang w:val="en-US" w:eastAsia="zh-CN"/>
        </w:rPr>
        <w:t>绩效指标：健全“室组”联动监督、“室组地”联合办案机制。</w:t>
      </w:r>
      <w:r>
        <w:rPr>
          <w:rFonts w:hint="eastAsia"/>
          <w:lang w:eastAsia="zh-CN"/>
        </w:rPr>
        <w:t>全年案件办结率不低于</w:t>
      </w:r>
      <w:r>
        <w:rPr>
          <w:rFonts w:hint="eastAsia"/>
          <w:lang w:val="en-US" w:eastAsia="zh-CN"/>
        </w:rPr>
        <w:t>85%，案件办结时限不超过3个月，群众满意度不低于90%，</w:t>
      </w:r>
      <w:r>
        <w:rPr>
          <w:rFonts w:hint="eastAsia"/>
          <w:lang w:eastAsia="zh-CN"/>
        </w:rPr>
        <w:t>案件持续发挥作用时间不低于</w:t>
      </w:r>
      <w:r>
        <w:rPr>
          <w:rFonts w:hint="eastAsia"/>
          <w:lang w:val="en-US" w:eastAsia="zh-CN"/>
        </w:rPr>
        <w:t>1年。</w:t>
      </w:r>
    </w:p>
    <w:p>
      <w:pPr>
        <w:pStyle w:val="27"/>
        <w:rPr>
          <w:rFonts w:hint="eastAsia"/>
          <w:lang w:val="en-US" w:eastAsia="zh-CN"/>
        </w:rPr>
      </w:pPr>
      <w:r>
        <w:rPr>
          <w:rFonts w:hint="eastAsia"/>
          <w:lang w:val="en-US" w:eastAsia="zh-CN"/>
        </w:rPr>
        <w:t>6、从严从实加强自身建设，努力做党和人民的忠诚卫士</w:t>
      </w:r>
    </w:p>
    <w:p>
      <w:pPr>
        <w:pStyle w:val="27"/>
        <w:rPr>
          <w:rFonts w:hint="default"/>
          <w:lang w:val="en-US" w:eastAsia="zh-CN"/>
        </w:rPr>
      </w:pPr>
      <w:r>
        <w:rPr>
          <w:rFonts w:hint="default"/>
          <w:lang w:val="en-US" w:eastAsia="zh-CN"/>
        </w:rPr>
        <w:t>绩效目标：持续优化内部治理，不断推进纪检监察系统规范化、法治化、正规化建设，优化内控机制</w:t>
      </w:r>
      <w:r>
        <w:rPr>
          <w:rFonts w:hint="eastAsia"/>
          <w:lang w:val="en-US" w:eastAsia="zh-CN"/>
        </w:rPr>
        <w:t>，</w:t>
      </w:r>
      <w:r>
        <w:rPr>
          <w:rFonts w:hint="default"/>
          <w:lang w:val="en-US" w:eastAsia="zh-CN"/>
        </w:rPr>
        <w:t>加强自身建设</w:t>
      </w:r>
      <w:r>
        <w:rPr>
          <w:rFonts w:hint="eastAsia"/>
          <w:lang w:val="en-US" w:eastAsia="zh-CN"/>
        </w:rPr>
        <w:t>，</w:t>
      </w:r>
      <w:r>
        <w:rPr>
          <w:rFonts w:hint="default"/>
          <w:lang w:val="en-US" w:eastAsia="zh-CN"/>
        </w:rPr>
        <w:t>强化干部队伍监管</w:t>
      </w:r>
      <w:r>
        <w:rPr>
          <w:rFonts w:hint="eastAsia"/>
          <w:lang w:val="en-US" w:eastAsia="zh-CN"/>
        </w:rPr>
        <w:t>，</w:t>
      </w:r>
      <w:r>
        <w:rPr>
          <w:rFonts w:hint="default"/>
          <w:lang w:val="en-US" w:eastAsia="zh-CN"/>
        </w:rPr>
        <w:t>着力打造忠诚干净担当的纪检监察铁军。</w:t>
      </w:r>
    </w:p>
    <w:p>
      <w:pPr>
        <w:pStyle w:val="27"/>
        <w:rPr>
          <w:rFonts w:hint="eastAsia"/>
          <w:lang w:eastAsia="zh-CN"/>
        </w:rPr>
      </w:pPr>
      <w:r>
        <w:rPr>
          <w:rFonts w:hint="default"/>
          <w:lang w:val="en-US" w:eastAsia="zh-CN"/>
        </w:rPr>
        <w:t>绩效指标：科学全面制定培训工作方案，</w:t>
      </w:r>
      <w:r>
        <w:rPr>
          <w:rFonts w:hint="eastAsia"/>
          <w:lang w:eastAsia="zh-CN"/>
        </w:rPr>
        <w:t>实现对执纪执法过程监管全覆盖。</w:t>
      </w:r>
    </w:p>
    <w:p>
      <w:pPr>
        <w:pStyle w:val="27"/>
      </w:pPr>
      <w:r>
        <w:rPr>
          <w:rFonts w:hint="eastAsia"/>
          <w:lang w:val="en-US" w:eastAsia="zh-CN"/>
        </w:rPr>
        <w:t>7、</w:t>
      </w:r>
      <w:r>
        <w:t>充分发挥巡视党内监督利剑和密切联系群众纽带作用</w:t>
      </w:r>
    </w:p>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绩效目标：监督检查党内法规政策、国家法律法规、党风廉政建设等的执行情况；贯彻落实区委有关部署，开展常态化全覆盖监督巡察。</w:t>
      </w:r>
    </w:p>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绩效指标：加大问责力度；巡查监督常态化、全覆盖。把所有党政机关和直属企事业单位全部纳入巡察监督范围，实现巡察无死角、监督无例外。统筹安排常规巡察，深化专项巡察，强化机动巡察，推动“回头看”常态化，把问题导向贯穿巡察全过程。强化巡察成果综合运用，强化整改问责，确保条条要整改、件件有着落，坚决纠正工作走过场、搞形式问题。</w:t>
      </w:r>
    </w:p>
    <w:p>
      <w:pPr>
        <w:spacing w:line="500" w:lineRule="exact"/>
        <w:ind w:firstLine="560"/>
      </w:pPr>
      <w:r>
        <w:rPr>
          <w:rFonts w:eastAsia="方正仿宋_GBK"/>
          <w:color w:val="000000"/>
          <w:sz w:val="28"/>
        </w:rPr>
        <w:t>（三）工作保障措施</w:t>
      </w:r>
    </w:p>
    <w:p>
      <w:pPr>
        <w:pStyle w:val="28"/>
      </w:pPr>
      <w:r>
        <w:t>1、严明政治纪律和政治规矩</w:t>
      </w:r>
    </w:p>
    <w:p>
      <w:pPr>
        <w:pStyle w:val="28"/>
      </w:pPr>
      <w:r>
        <w:t>开展落实“两个维护”情况专项监督；开展严肃党内政治生活情况专项监督；坚决破除“形式主义、官僚主义”。</w:t>
      </w:r>
    </w:p>
    <w:p>
      <w:pPr>
        <w:pStyle w:val="28"/>
      </w:pPr>
      <w:r>
        <w:t>2、加强纪检监察工作体制机制建设</w:t>
      </w:r>
    </w:p>
    <w:p>
      <w:pPr>
        <w:pStyle w:val="28"/>
      </w:pPr>
      <w:r>
        <w:t>认真履行协助党委全面从严治党职责，加强基层纪检组织建设</w:t>
      </w:r>
      <w:r>
        <w:rPr>
          <w:rFonts w:hint="eastAsia"/>
          <w:lang w:eastAsia="zh-CN"/>
        </w:rPr>
        <w:t>，</w:t>
      </w:r>
      <w:r>
        <w:t>强化对乡镇纪委开展日常监督、执纪审查等工作的指导</w:t>
      </w:r>
      <w:r>
        <w:rPr>
          <w:rFonts w:hint="eastAsia"/>
          <w:lang w:eastAsia="zh-CN"/>
        </w:rPr>
        <w:t>，</w:t>
      </w:r>
      <w:r>
        <w:t>使主体责任、监督责任贯通协同、形成合力。把增强对公权力和公职人员的监督全覆盖、有效性作为着力点，健全统一决策、一体运行的执纪执法工作机制。</w:t>
      </w:r>
    </w:p>
    <w:p>
      <w:pPr>
        <w:pStyle w:val="28"/>
      </w:pPr>
      <w:r>
        <w:t>3、加强监督监察工作，在实效上实现新突破。</w:t>
      </w:r>
    </w:p>
    <w:p>
      <w:pPr>
        <w:pStyle w:val="28"/>
      </w:pPr>
      <w:r>
        <w:t>注重抓住监督重点，注重日常精准监督，坚持问题导向解决党风问题，深入推进作风建设，注重强化制度执行，注重形成监督合力，严格落实容错纠错机制，在全区营造风清气正、勇于改革创新、敢于担当负责的良好环境。</w:t>
      </w:r>
    </w:p>
    <w:p>
      <w:pPr>
        <w:pStyle w:val="28"/>
      </w:pPr>
      <w:r>
        <w:t>4、在政治巡察上实现新突破。</w:t>
      </w:r>
    </w:p>
    <w:p>
      <w:pPr>
        <w:pStyle w:val="28"/>
      </w:pPr>
      <w:r>
        <w:t>突出抓好“六化”建设，一是巡察工作规范化；二是方式方法科学化；三是问题整改求实化；四是解决问题可视化；五是巡察成果应用化；六是队伍建设专业化。</w:t>
      </w:r>
    </w:p>
    <w:p>
      <w:pPr>
        <w:pStyle w:val="28"/>
      </w:pPr>
      <w:r>
        <w:t>5、持续整治群众身边腐败和作风问题。</w:t>
      </w:r>
    </w:p>
    <w:p>
      <w:pPr>
        <w:pStyle w:val="28"/>
      </w:pPr>
      <w:r>
        <w:t>（1）持续深化扶贫领域腐败和作风问题专项治理，严肃查处扶贫领域贪污侵占、虚报冒领、截留挪用、优亲厚友等突出问题，严肃查处职能部门在扶贫工作中履责不力、监管不严、推诿扯皮等问题。</w:t>
      </w:r>
    </w:p>
    <w:p>
      <w:pPr>
        <w:pStyle w:val="28"/>
      </w:pPr>
      <w:r>
        <w:t>（2）扎实开展民生领域专项整治，加强对民生工程推进情况的监督，切实解决教育医疗、环境保护、食品药品安全等方面侵害群众利益问题。</w:t>
      </w:r>
    </w:p>
    <w:p>
      <w:pPr>
        <w:pStyle w:val="28"/>
      </w:pPr>
      <w:r>
        <w:t>（3）深挖涉黑涉恶腐败和黑恶势力“保护伞”，立足职责定位，严肃查处党员干部和公职人员助长黑恶势力做大成势、干预和阻挠案件调查处理等问题，严肃背后的腐败行为。</w:t>
      </w:r>
    </w:p>
    <w:p>
      <w:pPr>
        <w:pStyle w:val="28"/>
      </w:pPr>
      <w:r>
        <w:rPr>
          <w:rFonts w:hint="eastAsia"/>
          <w:lang w:eastAsia="zh-CN"/>
        </w:rPr>
        <w:t>（</w:t>
      </w:r>
      <w:r>
        <w:rPr>
          <w:rFonts w:hint="eastAsia"/>
          <w:lang w:val="en-US" w:eastAsia="zh-CN"/>
        </w:rPr>
        <w:t>4</w:t>
      </w:r>
      <w:r>
        <w:rPr>
          <w:rFonts w:hint="eastAsia"/>
          <w:lang w:eastAsia="zh-CN"/>
        </w:rPr>
        <w:t>）</w:t>
      </w:r>
      <w:r>
        <w:t>把整治群众反映强烈的腐败和作风问题放在突出位置，严肃查处对群众反映强烈的问题不担当、消极应付，对群众合理诉求不作为、推诿扯皮等问题，让群众切实感受到正风反腐就在身边。</w:t>
      </w:r>
    </w:p>
    <w:p>
      <w:pPr>
        <w:pStyle w:val="28"/>
      </w:pPr>
      <w:r>
        <w:t>6、加强并完善各项制度建设</w:t>
      </w:r>
    </w:p>
    <w:p>
      <w:pPr>
        <w:pStyle w:val="28"/>
      </w:pPr>
      <w:r>
        <w:t>（1）加强完善学习制度，并在落实上下功夫。严格落实理论学习中心组、常委扩大会学习等制度，带头学习贯彻习近平新时代中国特色社会主义思想，坚持在学懂弄通做实上下功夫。弘扬革命理想高于天的精神，秉持献身党和人民事业的崇高情怀，增强担当精神和斗争精神，在大是大非面前敢于亮剑、敢于斗争。注重在一线培养锻炼、发现识别优秀干部，体现讲担当、重担当的鲜明用人导向。</w:t>
      </w:r>
    </w:p>
    <w:p>
      <w:pPr>
        <w:pStyle w:val="28"/>
      </w:pPr>
      <w:r>
        <w:t>（2）制定完善预算绩效管理制度，制定绩效目标，责任落实到人，督促各项绩效指标完成，为全年预算绩效目标的实现奠定制度基础。</w:t>
      </w:r>
    </w:p>
    <w:p>
      <w:pPr>
        <w:pStyle w:val="28"/>
      </w:pPr>
      <w:r>
        <w:t>7、加强资金支出管理。</w:t>
      </w:r>
    </w:p>
    <w:p>
      <w:pPr>
        <w:pStyle w:val="28"/>
      </w:pPr>
      <w:r>
        <w:t>通过优化支出结构、编细编实预算、尽快启动项目、及时支付资金、按规定及时下达资金等多种措施，加快支出进度。确保支出进度达标。</w:t>
      </w:r>
    </w:p>
    <w:p>
      <w:pPr>
        <w:pStyle w:val="28"/>
      </w:pPr>
      <w:r>
        <w:t>8、加强绩效运行监控。</w:t>
      </w:r>
    </w:p>
    <w:p>
      <w:pPr>
        <w:pStyle w:val="28"/>
      </w:pPr>
      <w:r>
        <w:t>按要求开展绩效运行监控，发现问题及时采取措施，确保绩效目标如期保质实现。</w:t>
      </w:r>
    </w:p>
    <w:p>
      <w:pPr>
        <w:pStyle w:val="28"/>
      </w:pPr>
      <w:r>
        <w:t>9、做好绩效自评。</w:t>
      </w:r>
    </w:p>
    <w:p>
      <w:pPr>
        <w:pStyle w:val="28"/>
      </w:pPr>
      <w:r>
        <w:t>按要求开展上年度部门预算绩效自评和重点评价工作，对评价中发现的问题及时整改，调整优化支出结构，提高财政资金使用效益。</w:t>
      </w:r>
    </w:p>
    <w:p>
      <w:pPr>
        <w:pStyle w:val="28"/>
      </w:pPr>
      <w:r>
        <w:t>10、规范财务资产管理。</w:t>
      </w:r>
    </w:p>
    <w:p>
      <w:pPr>
        <w:pStyle w:val="28"/>
      </w:pPr>
      <w:r>
        <w:t>完善财务管理制度，严格审批程序，加强固定资产登记、使用和报废处置管理，做到支出合理，物尽其用。</w:t>
      </w:r>
    </w:p>
    <w:p>
      <w:pPr>
        <w:pStyle w:val="28"/>
      </w:pPr>
      <w:r>
        <w:t>11、加强内部监督。</w:t>
      </w:r>
    </w:p>
    <w:p>
      <w:pPr>
        <w:pStyle w:val="28"/>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t>12、加强宣传培训调研等。</w:t>
      </w:r>
    </w:p>
    <w:p>
      <w:pPr>
        <w:pStyle w:val="28"/>
      </w:pPr>
      <w:r>
        <w:t>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beforeLines="50" w:after="0" w:afterLines="50"/>
        <w:ind w:firstLine="643" w:firstLineChars="200"/>
        <w:jc w:val="left"/>
        <w:textAlignment w:val="auto"/>
        <w:rPr>
          <w:rFonts w:hint="eastAsia" w:ascii="方正楷体_GBK" w:eastAsia="方正楷体_GBK"/>
          <w:b/>
          <w:sz w:val="32"/>
        </w:rPr>
      </w:pPr>
      <w:r>
        <w:rPr>
          <w:rFonts w:hint="eastAsia" w:ascii="方正楷体_GBK" w:eastAsia="方正楷体_GBK"/>
          <w:b/>
          <w:kern w:val="2"/>
          <w:sz w:val="32"/>
          <w:lang w:eastAsia="zh-CN"/>
        </w:rPr>
        <w:t>第二部分  专项资金绩效目标</w:t>
      </w:r>
    </w:p>
    <w:p>
      <w:pPr>
        <w:keepNext w:val="0"/>
        <w:keepLines w:val="0"/>
        <w:pageBreakBefore w:val="0"/>
        <w:widowControl/>
        <w:kinsoku/>
        <w:wordWrap/>
        <w:overflowPunct/>
        <w:topLinePunct w:val="0"/>
        <w:autoSpaceDE/>
        <w:autoSpaceDN/>
        <w:bidi w:val="0"/>
        <w:adjustRightInd/>
        <w:snapToGrid/>
        <w:spacing w:before="0" w:beforeLines="50" w:after="0" w:afterLines="50"/>
        <w:ind w:firstLine="643" w:firstLineChars="200"/>
        <w:jc w:val="left"/>
        <w:textAlignment w:val="auto"/>
        <w:rPr>
          <w:rFonts w:hint="eastAsia" w:ascii="方正楷体_GBK" w:eastAsia="方正楷体_GBK"/>
          <w:b/>
          <w:sz w:val="32"/>
        </w:rPr>
      </w:pPr>
      <w:r>
        <w:rPr>
          <w:rFonts w:hint="eastAsia" w:ascii="方正楷体_GBK" w:eastAsia="方正楷体_GBK"/>
          <w:b/>
          <w:sz w:val="32"/>
        </w:rPr>
        <w:t>第三部分  预算项目绩效目标</w:t>
      </w:r>
    </w:p>
    <w:p>
      <w:pPr>
        <w:ind w:firstLine="562" w:firstLineChars="200"/>
      </w:pPr>
      <w:r>
        <w:rPr>
          <w:rFonts w:ascii="方正仿宋_GBK" w:hAnsi="方正仿宋_GBK" w:eastAsia="方正仿宋_GBK" w:cs="方正仿宋_GBK"/>
          <w:b/>
          <w:color w:val="000000"/>
          <w:sz w:val="28"/>
        </w:rPr>
        <w:t>1、公务用车购置费绩效目标表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保障购置1辆公务用车的经费。满足工作需要，提高工作效率，机关工作人员的满意度达80%以上</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车辆购置数量</w:t>
            </w:r>
          </w:p>
        </w:tc>
        <w:tc>
          <w:tcPr>
            <w:tcW w:w="2835" w:type="dxa"/>
            <w:vAlign w:val="center"/>
          </w:tcPr>
          <w:p>
            <w:pPr>
              <w:pStyle w:val="17"/>
            </w:pPr>
            <w:r>
              <w:t>车辆购置数量</w:t>
            </w:r>
          </w:p>
        </w:tc>
        <w:tc>
          <w:tcPr>
            <w:tcW w:w="2551" w:type="dxa"/>
            <w:vAlign w:val="center"/>
          </w:tcPr>
          <w:p>
            <w:pPr>
              <w:pStyle w:val="17"/>
            </w:pPr>
            <w:r>
              <w:t>11辆</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购置质量合格率（%）</w:t>
            </w:r>
          </w:p>
        </w:tc>
        <w:tc>
          <w:tcPr>
            <w:tcW w:w="2835" w:type="dxa"/>
            <w:vAlign w:val="center"/>
          </w:tcPr>
          <w:p>
            <w:pPr>
              <w:pStyle w:val="17"/>
            </w:pPr>
            <w:r>
              <w:t>购置质量合格率（%）</w:t>
            </w:r>
          </w:p>
        </w:tc>
        <w:tc>
          <w:tcPr>
            <w:tcW w:w="2551" w:type="dxa"/>
            <w:vAlign w:val="center"/>
          </w:tcPr>
          <w:p>
            <w:pPr>
              <w:pStyle w:val="17"/>
            </w:pPr>
            <w:r>
              <w:t>100%</w:t>
            </w:r>
          </w:p>
        </w:tc>
        <w:tc>
          <w:tcPr>
            <w:tcW w:w="2268" w:type="dxa"/>
            <w:vAlign w:val="center"/>
          </w:tcPr>
          <w:p>
            <w:pPr>
              <w:pStyle w:val="1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购置时间</w:t>
            </w:r>
          </w:p>
        </w:tc>
        <w:tc>
          <w:tcPr>
            <w:tcW w:w="2835" w:type="dxa"/>
            <w:vAlign w:val="center"/>
          </w:tcPr>
          <w:p>
            <w:pPr>
              <w:pStyle w:val="17"/>
            </w:pPr>
            <w:r>
              <w:t>购置时间</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单位购置成本（元/台、件、辆、</w:t>
            </w:r>
          </w:p>
        </w:tc>
        <w:tc>
          <w:tcPr>
            <w:tcW w:w="2835" w:type="dxa"/>
            <w:vAlign w:val="center"/>
          </w:tcPr>
          <w:p>
            <w:pPr>
              <w:pStyle w:val="17"/>
            </w:pPr>
            <w:r>
              <w:t>单位购置成本（元/台、件、辆、套）</w:t>
            </w:r>
          </w:p>
        </w:tc>
        <w:tc>
          <w:tcPr>
            <w:tcW w:w="2551" w:type="dxa"/>
            <w:vAlign w:val="center"/>
          </w:tcPr>
          <w:p>
            <w:pPr>
              <w:pStyle w:val="17"/>
            </w:pPr>
            <w:r>
              <w:t>≤12万元</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车辆使用年限</w:t>
            </w:r>
          </w:p>
        </w:tc>
        <w:tc>
          <w:tcPr>
            <w:tcW w:w="2835" w:type="dxa"/>
            <w:vAlign w:val="center"/>
          </w:tcPr>
          <w:p>
            <w:pPr>
              <w:pStyle w:val="17"/>
            </w:pPr>
            <w:r>
              <w:t>车辆使用年限</w:t>
            </w:r>
          </w:p>
        </w:tc>
        <w:tc>
          <w:tcPr>
            <w:tcW w:w="2551" w:type="dxa"/>
            <w:vAlign w:val="center"/>
          </w:tcPr>
          <w:p>
            <w:pPr>
              <w:pStyle w:val="17"/>
            </w:pPr>
            <w:r>
              <w:t>≥15年</w:t>
            </w:r>
          </w:p>
        </w:tc>
        <w:tc>
          <w:tcPr>
            <w:tcW w:w="2268" w:type="dxa"/>
            <w:vAlign w:val="center"/>
          </w:tcPr>
          <w:p>
            <w:pPr>
              <w:pStyle w:val="1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服务对象满意比例</w:t>
            </w:r>
          </w:p>
        </w:tc>
        <w:tc>
          <w:tcPr>
            <w:tcW w:w="2835" w:type="dxa"/>
            <w:vAlign w:val="center"/>
          </w:tcPr>
          <w:p>
            <w:pPr>
              <w:pStyle w:val="17"/>
            </w:pPr>
            <w:r>
              <w:t>服务对象满意比例</w:t>
            </w:r>
          </w:p>
        </w:tc>
        <w:tc>
          <w:tcPr>
            <w:tcW w:w="2551" w:type="dxa"/>
            <w:vAlign w:val="center"/>
          </w:tcPr>
          <w:p>
            <w:pPr>
              <w:pStyle w:val="17"/>
            </w:pPr>
            <w:r>
              <w:t>≥80%</w:t>
            </w:r>
          </w:p>
        </w:tc>
        <w:tc>
          <w:tcPr>
            <w:tcW w:w="2268" w:type="dxa"/>
            <w:vAlign w:val="center"/>
          </w:tcPr>
          <w:p>
            <w:pPr>
              <w:pStyle w:val="17"/>
            </w:pPr>
            <w:r>
              <w:t>历史经验</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2、纪检监察业务费绩效目标表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1.保障90人办案业务经费，维护党纪国法尊严，惩处腐败分子，有效遏制腐败现象。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经费保障人数</w:t>
            </w:r>
          </w:p>
        </w:tc>
        <w:tc>
          <w:tcPr>
            <w:tcW w:w="2835" w:type="dxa"/>
            <w:vAlign w:val="center"/>
          </w:tcPr>
          <w:p>
            <w:pPr>
              <w:pStyle w:val="17"/>
            </w:pPr>
            <w:r>
              <w:t>经费保障人数</w:t>
            </w:r>
          </w:p>
        </w:tc>
        <w:tc>
          <w:tcPr>
            <w:tcW w:w="2551" w:type="dxa"/>
            <w:vAlign w:val="center"/>
          </w:tcPr>
          <w:p>
            <w:pPr>
              <w:pStyle w:val="17"/>
            </w:pPr>
            <w:r>
              <w:t>90人</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案件办结率</w:t>
            </w:r>
          </w:p>
        </w:tc>
        <w:tc>
          <w:tcPr>
            <w:tcW w:w="2835" w:type="dxa"/>
            <w:vAlign w:val="center"/>
          </w:tcPr>
          <w:p>
            <w:pPr>
              <w:pStyle w:val="17"/>
            </w:pPr>
            <w:r>
              <w:t>案件办结率</w:t>
            </w:r>
          </w:p>
        </w:tc>
        <w:tc>
          <w:tcPr>
            <w:tcW w:w="2551" w:type="dxa"/>
            <w:vAlign w:val="center"/>
          </w:tcPr>
          <w:p>
            <w:pPr>
              <w:pStyle w:val="17"/>
            </w:pPr>
            <w:r>
              <w:t>≥85%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案件办理时限</w:t>
            </w:r>
          </w:p>
        </w:tc>
        <w:tc>
          <w:tcPr>
            <w:tcW w:w="2835" w:type="dxa"/>
            <w:vAlign w:val="center"/>
          </w:tcPr>
          <w:p>
            <w:pPr>
              <w:pStyle w:val="17"/>
            </w:pPr>
            <w:r>
              <w:t>案件办理时限</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按预算资金完成率</w:t>
            </w:r>
          </w:p>
        </w:tc>
        <w:tc>
          <w:tcPr>
            <w:tcW w:w="2835" w:type="dxa"/>
            <w:vAlign w:val="center"/>
          </w:tcPr>
          <w:p>
            <w:pPr>
              <w:pStyle w:val="17"/>
            </w:pPr>
            <w:r>
              <w:t>按预算资金完成率</w:t>
            </w:r>
          </w:p>
        </w:tc>
        <w:tc>
          <w:tcPr>
            <w:tcW w:w="2551" w:type="dxa"/>
            <w:vAlign w:val="center"/>
          </w:tcPr>
          <w:p>
            <w:pPr>
              <w:pStyle w:val="17"/>
            </w:pPr>
            <w:r>
              <w:t>≥95%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w:t>
            </w:r>
          </w:p>
        </w:tc>
        <w:tc>
          <w:tcPr>
            <w:tcW w:w="2835" w:type="dxa"/>
            <w:vAlign w:val="center"/>
          </w:tcPr>
          <w:p>
            <w:pPr>
              <w:pStyle w:val="17"/>
            </w:pPr>
            <w:r>
              <w:t>项目持续发挥作用</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历史经验</w:t>
            </w:r>
          </w:p>
        </w:tc>
      </w:tr>
    </w:tbl>
    <w:p>
      <w:pPr>
        <w:ind w:firstLine="562" w:firstLineChars="200"/>
      </w:pPr>
      <w:r>
        <w:rPr>
          <w:rFonts w:ascii="方正仿宋_GBK" w:hAnsi="方正仿宋_GBK" w:eastAsia="方正仿宋_GBK" w:cs="方正仿宋_GBK"/>
          <w:b/>
          <w:color w:val="000000"/>
          <w:sz w:val="28"/>
        </w:rPr>
        <w:t>3、乡镇纪检监察业务费绩效目标表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1.该经费用于保障45名乡镇纪检人员办案业务经费，可使监督执纪工作向纵深发展，全覆盖。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经费保障人数</w:t>
            </w:r>
          </w:p>
        </w:tc>
        <w:tc>
          <w:tcPr>
            <w:tcW w:w="2835" w:type="dxa"/>
            <w:vAlign w:val="center"/>
          </w:tcPr>
          <w:p>
            <w:pPr>
              <w:pStyle w:val="17"/>
            </w:pPr>
            <w:r>
              <w:t>经费保障人数</w:t>
            </w:r>
          </w:p>
        </w:tc>
        <w:tc>
          <w:tcPr>
            <w:tcW w:w="2551" w:type="dxa"/>
            <w:vAlign w:val="center"/>
          </w:tcPr>
          <w:p>
            <w:pPr>
              <w:pStyle w:val="17"/>
            </w:pPr>
            <w:r>
              <w:t>45人</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案件办结率</w:t>
            </w:r>
          </w:p>
        </w:tc>
        <w:tc>
          <w:tcPr>
            <w:tcW w:w="2835" w:type="dxa"/>
            <w:vAlign w:val="center"/>
          </w:tcPr>
          <w:p>
            <w:pPr>
              <w:pStyle w:val="17"/>
            </w:pPr>
            <w:r>
              <w:t>案件办结率</w:t>
            </w:r>
          </w:p>
        </w:tc>
        <w:tc>
          <w:tcPr>
            <w:tcW w:w="2551" w:type="dxa"/>
            <w:vAlign w:val="center"/>
          </w:tcPr>
          <w:p>
            <w:pPr>
              <w:pStyle w:val="17"/>
            </w:pPr>
            <w:r>
              <w:t>≥85%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案件处理时间</w:t>
            </w:r>
          </w:p>
        </w:tc>
        <w:tc>
          <w:tcPr>
            <w:tcW w:w="2835" w:type="dxa"/>
            <w:vAlign w:val="center"/>
          </w:tcPr>
          <w:p>
            <w:pPr>
              <w:pStyle w:val="17"/>
            </w:pPr>
            <w:r>
              <w:t>案件处理时间</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完成工作需要费用成本</w:t>
            </w:r>
          </w:p>
        </w:tc>
        <w:tc>
          <w:tcPr>
            <w:tcW w:w="2835" w:type="dxa"/>
            <w:vAlign w:val="center"/>
          </w:tcPr>
          <w:p>
            <w:pPr>
              <w:pStyle w:val="17"/>
            </w:pPr>
            <w:r>
              <w:t>完成工作需要费用成本</w:t>
            </w:r>
          </w:p>
        </w:tc>
        <w:tc>
          <w:tcPr>
            <w:tcW w:w="2551" w:type="dxa"/>
            <w:vAlign w:val="center"/>
          </w:tcPr>
          <w:p>
            <w:pPr>
              <w:pStyle w:val="17"/>
            </w:pPr>
            <w:r>
              <w:t>≤27万</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w:t>
            </w:r>
          </w:p>
        </w:tc>
        <w:tc>
          <w:tcPr>
            <w:tcW w:w="2835" w:type="dxa"/>
            <w:vAlign w:val="center"/>
          </w:tcPr>
          <w:p>
            <w:pPr>
              <w:pStyle w:val="17"/>
            </w:pPr>
            <w:r>
              <w:t>项目持续发挥作用</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办案人员被投诉次数</w:t>
            </w:r>
          </w:p>
        </w:tc>
        <w:tc>
          <w:tcPr>
            <w:tcW w:w="2835" w:type="dxa"/>
            <w:vAlign w:val="center"/>
          </w:tcPr>
          <w:p>
            <w:pPr>
              <w:pStyle w:val="17"/>
            </w:pPr>
            <w:r>
              <w:t>办案人员被投诉次数</w:t>
            </w:r>
          </w:p>
        </w:tc>
        <w:tc>
          <w:tcPr>
            <w:tcW w:w="2551" w:type="dxa"/>
            <w:vAlign w:val="center"/>
          </w:tcPr>
          <w:p>
            <w:pPr>
              <w:pStyle w:val="17"/>
            </w:pPr>
            <w:r>
              <w:t>≤3次</w:t>
            </w:r>
          </w:p>
        </w:tc>
        <w:tc>
          <w:tcPr>
            <w:tcW w:w="2268" w:type="dxa"/>
            <w:vAlign w:val="center"/>
          </w:tcPr>
          <w:p>
            <w:pPr>
              <w:pStyle w:val="17"/>
            </w:pPr>
            <w:r>
              <w:t>历史经验</w:t>
            </w:r>
          </w:p>
        </w:tc>
      </w:tr>
    </w:tbl>
    <w:p>
      <w:pPr>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4、巡察巡视专项经费绩效目标表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1.保障平均每轮12人，全年四轮每轮两个月的巡察经费，通过巡察发现问题、形成震慑，推动党中央、</w:t>
            </w:r>
            <w:r>
              <w:rPr>
                <w:rFonts w:hint="eastAsia"/>
                <w:lang w:eastAsia="zh-CN"/>
              </w:rPr>
              <w:t>区</w:t>
            </w:r>
            <w:r>
              <w:t>委、市委和县（区）党委重大决策部署，从严治党，遏制腐败。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日常巡查平均人力</w:t>
            </w:r>
          </w:p>
        </w:tc>
        <w:tc>
          <w:tcPr>
            <w:tcW w:w="2835" w:type="dxa"/>
            <w:vAlign w:val="center"/>
          </w:tcPr>
          <w:p>
            <w:pPr>
              <w:pStyle w:val="17"/>
            </w:pPr>
            <w:r>
              <w:t>日常巡查平均人力</w:t>
            </w:r>
          </w:p>
        </w:tc>
        <w:tc>
          <w:tcPr>
            <w:tcW w:w="2551" w:type="dxa"/>
            <w:vAlign w:val="center"/>
          </w:tcPr>
          <w:p>
            <w:pPr>
              <w:pStyle w:val="17"/>
            </w:pPr>
            <w:r>
              <w:t>≥12人</w:t>
            </w:r>
          </w:p>
        </w:tc>
        <w:tc>
          <w:tcPr>
            <w:tcW w:w="2268" w:type="dxa"/>
            <w:vAlign w:val="center"/>
          </w:tcPr>
          <w:p>
            <w:pPr>
              <w:pStyle w:val="17"/>
            </w:pPr>
            <w:r>
              <w:t>石家庄市委巡察工作统一安排部署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问题整改情况</w:t>
            </w:r>
          </w:p>
        </w:tc>
        <w:tc>
          <w:tcPr>
            <w:tcW w:w="2835" w:type="dxa"/>
            <w:vAlign w:val="center"/>
          </w:tcPr>
          <w:p>
            <w:pPr>
              <w:pStyle w:val="17"/>
            </w:pPr>
            <w:r>
              <w:t>问题整改情况</w:t>
            </w:r>
          </w:p>
        </w:tc>
        <w:tc>
          <w:tcPr>
            <w:tcW w:w="2551" w:type="dxa"/>
            <w:vAlign w:val="center"/>
          </w:tcPr>
          <w:p>
            <w:pPr>
              <w:pStyle w:val="17"/>
            </w:pPr>
            <w:r>
              <w:t>≥40个</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任务完成时间</w:t>
            </w:r>
          </w:p>
        </w:tc>
        <w:tc>
          <w:tcPr>
            <w:tcW w:w="2835" w:type="dxa"/>
            <w:vAlign w:val="center"/>
          </w:tcPr>
          <w:p>
            <w:pPr>
              <w:pStyle w:val="17"/>
            </w:pPr>
            <w:r>
              <w:t>任务完成时间</w:t>
            </w:r>
          </w:p>
        </w:tc>
        <w:tc>
          <w:tcPr>
            <w:tcW w:w="2551" w:type="dxa"/>
            <w:vAlign w:val="center"/>
          </w:tcPr>
          <w:p>
            <w:pPr>
              <w:pStyle w:val="17"/>
            </w:pPr>
            <w:r>
              <w:t>≤2月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巡查费用</w:t>
            </w:r>
          </w:p>
        </w:tc>
        <w:tc>
          <w:tcPr>
            <w:tcW w:w="2835" w:type="dxa"/>
            <w:vAlign w:val="center"/>
          </w:tcPr>
          <w:p>
            <w:pPr>
              <w:pStyle w:val="17"/>
            </w:pPr>
            <w:r>
              <w:t>巡查费用</w:t>
            </w:r>
          </w:p>
        </w:tc>
        <w:tc>
          <w:tcPr>
            <w:tcW w:w="2551" w:type="dxa"/>
            <w:vAlign w:val="center"/>
          </w:tcPr>
          <w:p>
            <w:pPr>
              <w:pStyle w:val="17"/>
            </w:pPr>
            <w:r>
              <w:t>≤400元/人</w:t>
            </w:r>
          </w:p>
        </w:tc>
        <w:tc>
          <w:tcPr>
            <w:tcW w:w="2268"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可持续影响力</w:t>
            </w:r>
          </w:p>
        </w:tc>
        <w:tc>
          <w:tcPr>
            <w:tcW w:w="2835" w:type="dxa"/>
            <w:vAlign w:val="center"/>
          </w:tcPr>
          <w:p>
            <w:pPr>
              <w:pStyle w:val="17"/>
            </w:pPr>
            <w:r>
              <w:t>项目可持续影响时间</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历史经验</w:t>
            </w:r>
          </w:p>
        </w:tc>
      </w:tr>
    </w:tbl>
    <w:p>
      <w:pPr>
        <w:spacing w:before="10" w:after="10"/>
        <w:outlineLvl w:val="2"/>
        <w:rPr>
          <w:rFonts w:ascii="黑体" w:hAnsi="黑体" w:eastAsia="黑体" w:cs="黑体"/>
          <w:color w:val="000000"/>
          <w:sz w:val="32"/>
        </w:rPr>
      </w:pPr>
      <w:bookmarkStart w:id="14" w:name="_Toc_3_3_0000000015"/>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2022年，中国共产党石家庄市鹿泉区纪律检查委员会安排政府采购预算0.00万元。具体内容见下表。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中国共产党石家庄市鹿泉区纪律检查委员会（含所属单位）上年末固定资产金额为</w:t>
      </w:r>
      <w:r>
        <w:rPr>
          <w:rFonts w:hint="eastAsia" w:eastAsia="方正仿宋_GBK"/>
          <w:color w:val="000000"/>
          <w:sz w:val="28"/>
          <w:lang w:val="en-US" w:eastAsia="zh-CN"/>
        </w:rPr>
        <w:t>416.11</w:t>
      </w:r>
      <w:r>
        <w:rPr>
          <w:rFonts w:eastAsia="方正仿宋_GBK"/>
          <w:color w:val="000000"/>
          <w:sz w:val="28"/>
        </w:rPr>
        <w:t>万元（详见下表）。本年度拟购置固定资产总额为36.00万元，</w:t>
      </w:r>
      <w:r>
        <w:rPr>
          <w:rFonts w:hint="eastAsia" w:eastAsia="方正仿宋_GBK"/>
          <w:color w:val="000000"/>
          <w:sz w:val="28"/>
          <w:lang w:eastAsia="zh-CN"/>
        </w:rPr>
        <w:t>主</w:t>
      </w:r>
      <w:r>
        <w:rPr>
          <w:rFonts w:hint="eastAsia" w:eastAsia="方正仿宋_GBK"/>
          <w:color w:val="000000"/>
          <w:sz w:val="28"/>
        </w:rPr>
        <w:t>要为计算机、一体机、打印机、软件等。</w:t>
      </w:r>
      <w:r>
        <w:rPr>
          <w:rFonts w:eastAsia="方正仿宋_GBK"/>
          <w:color w:val="000000"/>
          <w:sz w:val="28"/>
        </w:rPr>
        <w:t>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416.11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7</w:t>
            </w:r>
          </w:p>
        </w:tc>
        <w:tc>
          <w:tcPr>
            <w:tcW w:w="2835" w:type="dxa"/>
            <w:vAlign w:val="center"/>
          </w:tcPr>
          <w:p>
            <w:pPr>
              <w:pStyle w:val="16"/>
            </w:pPr>
            <w:r>
              <w:t>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lang w:val="en-US" w:eastAsia="zh-CN"/>
              </w:rPr>
            </w:pPr>
            <w:r>
              <w:rPr>
                <w:rFonts w:hint="eastAsia"/>
                <w:lang w:val="en-US" w:eastAsia="zh-CN"/>
              </w:rPr>
              <w:t>318.32</w:t>
            </w:r>
          </w:p>
        </w:tc>
      </w:tr>
    </w:tbl>
    <w:p>
      <w:pPr>
        <w:keepNext w:val="0"/>
        <w:keepLines w:val="0"/>
        <w:pageBreakBefore w:val="0"/>
        <w:widowControl/>
        <w:kinsoku/>
        <w:wordWrap/>
        <w:overflowPunct/>
        <w:topLinePunct w:val="0"/>
        <w:autoSpaceDE/>
        <w:autoSpaceDN/>
        <w:bidi w:val="0"/>
        <w:adjustRightInd/>
        <w:snapToGrid/>
        <w:spacing w:before="0" w:beforeLines="50" w:after="0" w:afterLines="50"/>
        <w:textAlignment w:val="auto"/>
      </w:pPr>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一、中国共产党石家庄市鹿泉区纪律检查委员会本级收支预算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337"/>
        <w:gridCol w:w="1970"/>
        <w:gridCol w:w="3890"/>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7" w:type="dxa"/>
            <w:gridSpan w:val="2"/>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1970" w:type="dxa"/>
            <w:tcBorders>
              <w:top w:val="single" w:color="FFFFFF" w:sz="6" w:space="0"/>
              <w:left w:val="single" w:color="FFFFFF" w:sz="6" w:space="0"/>
              <w:right w:val="single" w:color="FFFFFF" w:sz="6" w:space="0"/>
            </w:tcBorders>
            <w:vAlign w:val="center"/>
          </w:tcPr>
          <w:p>
            <w:pPr>
              <w:pStyle w:val="13"/>
            </w:pPr>
            <w:r>
              <w:t>预算年度：2022</w:t>
            </w:r>
          </w:p>
        </w:tc>
        <w:tc>
          <w:tcPr>
            <w:tcW w:w="601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7307" w:type="dxa"/>
            <w:gridSpan w:val="2"/>
            <w:vAlign w:val="center"/>
          </w:tcPr>
          <w:p>
            <w:pPr>
              <w:pStyle w:val="15"/>
            </w:pPr>
            <w:r>
              <w:t>收入</w:t>
            </w:r>
          </w:p>
        </w:tc>
        <w:tc>
          <w:tcPr>
            <w:tcW w:w="6016"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5337" w:type="dxa"/>
            <w:vAlign w:val="center"/>
          </w:tcPr>
          <w:p>
            <w:pPr>
              <w:pStyle w:val="15"/>
            </w:pPr>
            <w:r>
              <w:t>项  目</w:t>
            </w:r>
          </w:p>
        </w:tc>
        <w:tc>
          <w:tcPr>
            <w:tcW w:w="1970" w:type="dxa"/>
            <w:vAlign w:val="center"/>
          </w:tcPr>
          <w:p>
            <w:pPr>
              <w:pStyle w:val="15"/>
            </w:pPr>
            <w:r>
              <w:t>预算数</w:t>
            </w:r>
          </w:p>
        </w:tc>
        <w:tc>
          <w:tcPr>
            <w:tcW w:w="3890"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5337" w:type="dxa"/>
            <w:vAlign w:val="center"/>
          </w:tcPr>
          <w:p>
            <w:pPr>
              <w:pStyle w:val="15"/>
            </w:pPr>
            <w:r>
              <w:t>1</w:t>
            </w:r>
          </w:p>
        </w:tc>
        <w:tc>
          <w:tcPr>
            <w:tcW w:w="1970" w:type="dxa"/>
            <w:vAlign w:val="center"/>
          </w:tcPr>
          <w:p>
            <w:pPr>
              <w:pStyle w:val="15"/>
            </w:pPr>
            <w:r>
              <w:t>2</w:t>
            </w:r>
          </w:p>
        </w:tc>
        <w:tc>
          <w:tcPr>
            <w:tcW w:w="3890"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5337" w:type="dxa"/>
            <w:vAlign w:val="center"/>
          </w:tcPr>
          <w:p>
            <w:pPr>
              <w:pStyle w:val="17"/>
            </w:pPr>
            <w:r>
              <w:t>一、一般公共预算拨款收入</w:t>
            </w:r>
          </w:p>
        </w:tc>
        <w:tc>
          <w:tcPr>
            <w:tcW w:w="1970" w:type="dxa"/>
            <w:vAlign w:val="center"/>
          </w:tcPr>
          <w:p>
            <w:pPr>
              <w:pStyle w:val="16"/>
            </w:pPr>
            <w:r>
              <w:t>2130.34</w:t>
            </w:r>
          </w:p>
        </w:tc>
        <w:tc>
          <w:tcPr>
            <w:tcW w:w="3890" w:type="dxa"/>
            <w:vAlign w:val="center"/>
          </w:tcPr>
          <w:p>
            <w:pPr>
              <w:pStyle w:val="17"/>
            </w:pPr>
            <w:r>
              <w:t>一、一般公共服务支出</w:t>
            </w:r>
          </w:p>
        </w:tc>
        <w:tc>
          <w:tcPr>
            <w:tcW w:w="2126" w:type="dxa"/>
            <w:vAlign w:val="center"/>
          </w:tcPr>
          <w:p>
            <w:pPr>
              <w:pStyle w:val="16"/>
            </w:pPr>
            <w:r>
              <w:t>1692.95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5337" w:type="dxa"/>
            <w:vAlign w:val="center"/>
          </w:tcPr>
          <w:p>
            <w:pPr>
              <w:pStyle w:val="17"/>
            </w:pPr>
            <w:r>
              <w:t>二、政府性基金预算拨款收入</w:t>
            </w:r>
          </w:p>
        </w:tc>
        <w:tc>
          <w:tcPr>
            <w:tcW w:w="1970" w:type="dxa"/>
            <w:vAlign w:val="center"/>
          </w:tcPr>
          <w:p>
            <w:pPr>
              <w:pStyle w:val="16"/>
            </w:pPr>
          </w:p>
        </w:tc>
        <w:tc>
          <w:tcPr>
            <w:tcW w:w="3890"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5337" w:type="dxa"/>
            <w:vAlign w:val="center"/>
          </w:tcPr>
          <w:p>
            <w:pPr>
              <w:pStyle w:val="17"/>
            </w:pPr>
            <w:r>
              <w:t>三、国有资本经营预算拨款收入</w:t>
            </w:r>
          </w:p>
        </w:tc>
        <w:tc>
          <w:tcPr>
            <w:tcW w:w="1970" w:type="dxa"/>
            <w:vAlign w:val="center"/>
          </w:tcPr>
          <w:p>
            <w:pPr>
              <w:pStyle w:val="16"/>
            </w:pPr>
          </w:p>
        </w:tc>
        <w:tc>
          <w:tcPr>
            <w:tcW w:w="3890"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5337" w:type="dxa"/>
            <w:vAlign w:val="center"/>
          </w:tcPr>
          <w:p>
            <w:pPr>
              <w:pStyle w:val="17"/>
            </w:pPr>
            <w:r>
              <w:t>四、财政专户管理资金收入</w:t>
            </w:r>
          </w:p>
        </w:tc>
        <w:tc>
          <w:tcPr>
            <w:tcW w:w="1970" w:type="dxa"/>
            <w:vAlign w:val="center"/>
          </w:tcPr>
          <w:p>
            <w:pPr>
              <w:pStyle w:val="16"/>
            </w:pPr>
          </w:p>
        </w:tc>
        <w:tc>
          <w:tcPr>
            <w:tcW w:w="3890"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5337" w:type="dxa"/>
            <w:vAlign w:val="center"/>
          </w:tcPr>
          <w:p>
            <w:pPr>
              <w:pStyle w:val="17"/>
            </w:pPr>
            <w:r>
              <w:t>五、事业收入</w:t>
            </w:r>
          </w:p>
        </w:tc>
        <w:tc>
          <w:tcPr>
            <w:tcW w:w="1970" w:type="dxa"/>
            <w:vAlign w:val="center"/>
          </w:tcPr>
          <w:p>
            <w:pPr>
              <w:pStyle w:val="16"/>
            </w:pPr>
          </w:p>
        </w:tc>
        <w:tc>
          <w:tcPr>
            <w:tcW w:w="3890"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5337" w:type="dxa"/>
            <w:vAlign w:val="center"/>
          </w:tcPr>
          <w:p>
            <w:pPr>
              <w:pStyle w:val="17"/>
            </w:pPr>
            <w:r>
              <w:t>六、事业单位经营收入</w:t>
            </w:r>
          </w:p>
        </w:tc>
        <w:tc>
          <w:tcPr>
            <w:tcW w:w="1970" w:type="dxa"/>
            <w:vAlign w:val="center"/>
          </w:tcPr>
          <w:p>
            <w:pPr>
              <w:pStyle w:val="16"/>
            </w:pPr>
          </w:p>
        </w:tc>
        <w:tc>
          <w:tcPr>
            <w:tcW w:w="3890"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5337" w:type="dxa"/>
            <w:vAlign w:val="center"/>
          </w:tcPr>
          <w:p>
            <w:pPr>
              <w:pStyle w:val="17"/>
            </w:pPr>
            <w:r>
              <w:t>七、上级补助收入</w:t>
            </w:r>
          </w:p>
        </w:tc>
        <w:tc>
          <w:tcPr>
            <w:tcW w:w="1970" w:type="dxa"/>
            <w:vAlign w:val="center"/>
          </w:tcPr>
          <w:p>
            <w:pPr>
              <w:pStyle w:val="16"/>
            </w:pPr>
          </w:p>
        </w:tc>
        <w:tc>
          <w:tcPr>
            <w:tcW w:w="3890"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5337" w:type="dxa"/>
            <w:vAlign w:val="center"/>
          </w:tcPr>
          <w:p>
            <w:pPr>
              <w:pStyle w:val="17"/>
            </w:pPr>
            <w:r>
              <w:t>八、附属单位上缴收入</w:t>
            </w:r>
          </w:p>
        </w:tc>
        <w:tc>
          <w:tcPr>
            <w:tcW w:w="1970" w:type="dxa"/>
            <w:vAlign w:val="center"/>
          </w:tcPr>
          <w:p>
            <w:pPr>
              <w:pStyle w:val="16"/>
            </w:pPr>
          </w:p>
        </w:tc>
        <w:tc>
          <w:tcPr>
            <w:tcW w:w="3890" w:type="dxa"/>
            <w:vAlign w:val="center"/>
          </w:tcPr>
          <w:p>
            <w:pPr>
              <w:pStyle w:val="17"/>
            </w:pPr>
            <w:r>
              <w:t>八、社会保障和就业支出</w:t>
            </w:r>
          </w:p>
        </w:tc>
        <w:tc>
          <w:tcPr>
            <w:tcW w:w="2126" w:type="dxa"/>
            <w:vAlign w:val="center"/>
          </w:tcPr>
          <w:p>
            <w:pPr>
              <w:pStyle w:val="16"/>
            </w:pPr>
            <w:r>
              <w:t>187.73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5337" w:type="dxa"/>
            <w:vAlign w:val="center"/>
          </w:tcPr>
          <w:p>
            <w:pPr>
              <w:pStyle w:val="17"/>
            </w:pPr>
            <w:r>
              <w:t>九、其他收入</w:t>
            </w:r>
          </w:p>
        </w:tc>
        <w:tc>
          <w:tcPr>
            <w:tcW w:w="1970" w:type="dxa"/>
            <w:vAlign w:val="center"/>
          </w:tcPr>
          <w:p>
            <w:pPr>
              <w:pStyle w:val="16"/>
            </w:pPr>
          </w:p>
        </w:tc>
        <w:tc>
          <w:tcPr>
            <w:tcW w:w="3890"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十、卫生健康支出</w:t>
            </w:r>
          </w:p>
        </w:tc>
        <w:tc>
          <w:tcPr>
            <w:tcW w:w="2126" w:type="dxa"/>
            <w:vAlign w:val="center"/>
          </w:tcPr>
          <w:p>
            <w:pPr>
              <w:pStyle w:val="16"/>
            </w:pPr>
            <w:r>
              <w:t>101.27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二十、住房保障支出</w:t>
            </w:r>
          </w:p>
        </w:tc>
        <w:tc>
          <w:tcPr>
            <w:tcW w:w="2126" w:type="dxa"/>
            <w:vAlign w:val="center"/>
          </w:tcPr>
          <w:p>
            <w:pPr>
              <w:pStyle w:val="16"/>
            </w:pPr>
            <w:r>
              <w:t>148.39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5337" w:type="dxa"/>
            <w:vAlign w:val="center"/>
          </w:tcPr>
          <w:p>
            <w:pPr>
              <w:pStyle w:val="17"/>
            </w:pPr>
          </w:p>
        </w:tc>
        <w:tc>
          <w:tcPr>
            <w:tcW w:w="1970" w:type="dxa"/>
            <w:vAlign w:val="center"/>
          </w:tcPr>
          <w:p>
            <w:pPr>
              <w:pStyle w:val="16"/>
            </w:pPr>
          </w:p>
        </w:tc>
        <w:tc>
          <w:tcPr>
            <w:tcW w:w="3890"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5337" w:type="dxa"/>
            <w:vAlign w:val="center"/>
          </w:tcPr>
          <w:p>
            <w:pPr>
              <w:pStyle w:val="19"/>
            </w:pPr>
            <w:r>
              <w:t>本年收入合计</w:t>
            </w:r>
          </w:p>
        </w:tc>
        <w:tc>
          <w:tcPr>
            <w:tcW w:w="1970" w:type="dxa"/>
            <w:vAlign w:val="center"/>
          </w:tcPr>
          <w:p>
            <w:pPr>
              <w:pStyle w:val="20"/>
            </w:pPr>
            <w:r>
              <w:t>2130.34</w:t>
            </w:r>
          </w:p>
        </w:tc>
        <w:tc>
          <w:tcPr>
            <w:tcW w:w="3890" w:type="dxa"/>
            <w:vAlign w:val="center"/>
          </w:tcPr>
          <w:p>
            <w:pPr>
              <w:pStyle w:val="19"/>
            </w:pPr>
            <w:r>
              <w:t>本年支出合计</w:t>
            </w:r>
          </w:p>
        </w:tc>
        <w:tc>
          <w:tcPr>
            <w:tcW w:w="2126" w:type="dxa"/>
            <w:vAlign w:val="center"/>
          </w:tcPr>
          <w:p>
            <w:pPr>
              <w:pStyle w:val="20"/>
            </w:pPr>
            <w:r>
              <w:t>2130.34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5337" w:type="dxa"/>
            <w:vAlign w:val="center"/>
          </w:tcPr>
          <w:p>
            <w:pPr>
              <w:pStyle w:val="17"/>
            </w:pPr>
            <w:r>
              <w:t>上年结转结余</w:t>
            </w:r>
          </w:p>
        </w:tc>
        <w:tc>
          <w:tcPr>
            <w:tcW w:w="1970" w:type="dxa"/>
            <w:vAlign w:val="center"/>
          </w:tcPr>
          <w:p>
            <w:pPr>
              <w:pStyle w:val="16"/>
            </w:pPr>
          </w:p>
        </w:tc>
        <w:tc>
          <w:tcPr>
            <w:tcW w:w="3890"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5337" w:type="dxa"/>
            <w:vAlign w:val="center"/>
          </w:tcPr>
          <w:p>
            <w:pPr>
              <w:pStyle w:val="19"/>
            </w:pPr>
            <w:r>
              <w:t>收入总计</w:t>
            </w:r>
          </w:p>
        </w:tc>
        <w:tc>
          <w:tcPr>
            <w:tcW w:w="1970" w:type="dxa"/>
            <w:vAlign w:val="center"/>
          </w:tcPr>
          <w:p>
            <w:pPr>
              <w:pStyle w:val="20"/>
            </w:pPr>
            <w:r>
              <w:t>2130.34</w:t>
            </w:r>
          </w:p>
        </w:tc>
        <w:tc>
          <w:tcPr>
            <w:tcW w:w="3890" w:type="dxa"/>
            <w:vAlign w:val="center"/>
          </w:tcPr>
          <w:p>
            <w:pPr>
              <w:pStyle w:val="19"/>
            </w:pPr>
            <w:r>
              <w:t>支出总计</w:t>
            </w:r>
          </w:p>
        </w:tc>
        <w:tc>
          <w:tcPr>
            <w:tcW w:w="2126" w:type="dxa"/>
            <w:vAlign w:val="center"/>
          </w:tcPr>
          <w:p>
            <w:pPr>
              <w:pStyle w:val="20"/>
            </w:pPr>
            <w:r>
              <w:t>2130.34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2130.34</w:t>
            </w:r>
          </w:p>
        </w:tc>
        <w:tc>
          <w:tcPr>
            <w:tcW w:w="1134" w:type="dxa"/>
            <w:vAlign w:val="center"/>
          </w:tcPr>
          <w:p>
            <w:pPr>
              <w:pStyle w:val="20"/>
            </w:pPr>
            <w:r>
              <w:t>2130.34</w:t>
            </w:r>
          </w:p>
        </w:tc>
        <w:tc>
          <w:tcPr>
            <w:tcW w:w="1134" w:type="dxa"/>
            <w:vAlign w:val="center"/>
          </w:tcPr>
          <w:p>
            <w:pPr>
              <w:pStyle w:val="20"/>
            </w:pPr>
            <w:r>
              <w:t>2130.34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r>
              <w:t>1692.95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2011101</w:t>
            </w:r>
          </w:p>
        </w:tc>
        <w:tc>
          <w:tcPr>
            <w:tcW w:w="1559" w:type="dxa"/>
            <w:vAlign w:val="center"/>
          </w:tcPr>
          <w:p>
            <w:pPr>
              <w:pStyle w:val="17"/>
            </w:pPr>
            <w:r>
              <w:t>行政运行</w:t>
            </w:r>
          </w:p>
        </w:tc>
        <w:tc>
          <w:tcPr>
            <w:tcW w:w="1134" w:type="dxa"/>
            <w:vAlign w:val="center"/>
          </w:tcPr>
          <w:p>
            <w:pPr>
              <w:pStyle w:val="16"/>
            </w:pPr>
            <w:r>
              <w:t>1360.95</w:t>
            </w:r>
          </w:p>
        </w:tc>
        <w:tc>
          <w:tcPr>
            <w:tcW w:w="1134" w:type="dxa"/>
            <w:vAlign w:val="center"/>
          </w:tcPr>
          <w:p>
            <w:pPr>
              <w:pStyle w:val="16"/>
            </w:pPr>
            <w:r>
              <w:t>1360.95</w:t>
            </w:r>
          </w:p>
        </w:tc>
        <w:tc>
          <w:tcPr>
            <w:tcW w:w="1134" w:type="dxa"/>
            <w:vAlign w:val="center"/>
          </w:tcPr>
          <w:p>
            <w:pPr>
              <w:pStyle w:val="16"/>
            </w:pPr>
            <w:r>
              <w:t>1360.95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2011102</w:t>
            </w:r>
          </w:p>
        </w:tc>
        <w:tc>
          <w:tcPr>
            <w:tcW w:w="1559" w:type="dxa"/>
            <w:vAlign w:val="center"/>
          </w:tcPr>
          <w:p>
            <w:pPr>
              <w:pStyle w:val="17"/>
            </w:pPr>
            <w:r>
              <w:t>一般行政管理事务</w:t>
            </w:r>
          </w:p>
        </w:tc>
        <w:tc>
          <w:tcPr>
            <w:tcW w:w="1134" w:type="dxa"/>
            <w:vAlign w:val="center"/>
          </w:tcPr>
          <w:p>
            <w:pPr>
              <w:pStyle w:val="16"/>
            </w:pPr>
            <w:r>
              <w:t>332.00</w:t>
            </w:r>
          </w:p>
        </w:tc>
        <w:tc>
          <w:tcPr>
            <w:tcW w:w="1134" w:type="dxa"/>
            <w:vAlign w:val="center"/>
          </w:tcPr>
          <w:p>
            <w:pPr>
              <w:pStyle w:val="16"/>
            </w:pPr>
            <w:r>
              <w:t>332.00</w:t>
            </w:r>
          </w:p>
        </w:tc>
        <w:tc>
          <w:tcPr>
            <w:tcW w:w="1134" w:type="dxa"/>
            <w:vAlign w:val="center"/>
          </w:tcPr>
          <w:p>
            <w:pPr>
              <w:pStyle w:val="16"/>
            </w:pPr>
            <w:r>
              <w:t>332.00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r>
              <w:t>187.73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82.91</w:t>
            </w:r>
          </w:p>
        </w:tc>
        <w:tc>
          <w:tcPr>
            <w:tcW w:w="1134" w:type="dxa"/>
            <w:vAlign w:val="center"/>
          </w:tcPr>
          <w:p>
            <w:pPr>
              <w:pStyle w:val="16"/>
            </w:pPr>
            <w:r>
              <w:t>82.91</w:t>
            </w:r>
          </w:p>
        </w:tc>
        <w:tc>
          <w:tcPr>
            <w:tcW w:w="1134" w:type="dxa"/>
            <w:vAlign w:val="center"/>
          </w:tcPr>
          <w:p>
            <w:pPr>
              <w:pStyle w:val="16"/>
            </w:pPr>
            <w:r>
              <w:t>82.91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104.82</w:t>
            </w:r>
          </w:p>
        </w:tc>
        <w:tc>
          <w:tcPr>
            <w:tcW w:w="1134" w:type="dxa"/>
            <w:vAlign w:val="center"/>
          </w:tcPr>
          <w:p>
            <w:pPr>
              <w:pStyle w:val="16"/>
            </w:pPr>
            <w:r>
              <w:t>104.82</w:t>
            </w:r>
          </w:p>
        </w:tc>
        <w:tc>
          <w:tcPr>
            <w:tcW w:w="1134" w:type="dxa"/>
            <w:vAlign w:val="center"/>
          </w:tcPr>
          <w:p>
            <w:pPr>
              <w:pStyle w:val="16"/>
            </w:pPr>
            <w:r>
              <w:t>104.82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r>
              <w:t>101.27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r>
              <w:t>148.39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2130.34</w:t>
            </w:r>
          </w:p>
        </w:tc>
        <w:tc>
          <w:tcPr>
            <w:tcW w:w="1361" w:type="dxa"/>
            <w:vAlign w:val="center"/>
          </w:tcPr>
          <w:p>
            <w:pPr>
              <w:pStyle w:val="20"/>
            </w:pPr>
            <w:r>
              <w:t>1798.34</w:t>
            </w:r>
          </w:p>
        </w:tc>
        <w:tc>
          <w:tcPr>
            <w:tcW w:w="1361" w:type="dxa"/>
            <w:vAlign w:val="center"/>
          </w:tcPr>
          <w:p>
            <w:pPr>
              <w:pStyle w:val="20"/>
            </w:pPr>
            <w:r>
              <w:t>332.00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1692.95</w:t>
            </w:r>
          </w:p>
        </w:tc>
        <w:tc>
          <w:tcPr>
            <w:tcW w:w="1361" w:type="dxa"/>
            <w:vAlign w:val="center"/>
          </w:tcPr>
          <w:p>
            <w:pPr>
              <w:pStyle w:val="16"/>
            </w:pPr>
            <w:r>
              <w:t>1360.95</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5" w:type="dxa"/>
            <w:vAlign w:val="center"/>
          </w:tcPr>
          <w:p>
            <w:pPr>
              <w:pStyle w:val="17"/>
            </w:pPr>
            <w:r>
              <w:t>纪检监察事务</w:t>
            </w:r>
          </w:p>
        </w:tc>
        <w:tc>
          <w:tcPr>
            <w:tcW w:w="1361" w:type="dxa"/>
            <w:vAlign w:val="center"/>
          </w:tcPr>
          <w:p>
            <w:pPr>
              <w:pStyle w:val="16"/>
            </w:pPr>
            <w:r>
              <w:t>1692.95</w:t>
            </w:r>
          </w:p>
        </w:tc>
        <w:tc>
          <w:tcPr>
            <w:tcW w:w="1361" w:type="dxa"/>
            <w:vAlign w:val="center"/>
          </w:tcPr>
          <w:p>
            <w:pPr>
              <w:pStyle w:val="16"/>
            </w:pPr>
            <w:r>
              <w:t>1360.95</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2011101</w:t>
            </w:r>
          </w:p>
        </w:tc>
        <w:tc>
          <w:tcPr>
            <w:tcW w:w="4535" w:type="dxa"/>
            <w:vAlign w:val="center"/>
          </w:tcPr>
          <w:p>
            <w:pPr>
              <w:pStyle w:val="17"/>
            </w:pPr>
            <w:r>
              <w:t>行政运行</w:t>
            </w:r>
          </w:p>
        </w:tc>
        <w:tc>
          <w:tcPr>
            <w:tcW w:w="1361" w:type="dxa"/>
            <w:vAlign w:val="center"/>
          </w:tcPr>
          <w:p>
            <w:pPr>
              <w:pStyle w:val="16"/>
            </w:pPr>
            <w:r>
              <w:t>1360.95</w:t>
            </w:r>
          </w:p>
        </w:tc>
        <w:tc>
          <w:tcPr>
            <w:tcW w:w="1361" w:type="dxa"/>
            <w:vAlign w:val="center"/>
          </w:tcPr>
          <w:p>
            <w:pPr>
              <w:pStyle w:val="16"/>
            </w:pPr>
            <w:r>
              <w:t>1360.95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2011102</w:t>
            </w:r>
          </w:p>
        </w:tc>
        <w:tc>
          <w:tcPr>
            <w:tcW w:w="4535" w:type="dxa"/>
            <w:vAlign w:val="center"/>
          </w:tcPr>
          <w:p>
            <w:pPr>
              <w:pStyle w:val="17"/>
            </w:pPr>
            <w:r>
              <w:t>一般行政管理事务</w:t>
            </w: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r>
              <w:t>332.00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187.73</w:t>
            </w:r>
          </w:p>
        </w:tc>
        <w:tc>
          <w:tcPr>
            <w:tcW w:w="1361" w:type="dxa"/>
            <w:vAlign w:val="center"/>
          </w:tcPr>
          <w:p>
            <w:pPr>
              <w:pStyle w:val="16"/>
            </w:pPr>
            <w:r>
              <w:t>187.73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187.73</w:t>
            </w:r>
          </w:p>
        </w:tc>
        <w:tc>
          <w:tcPr>
            <w:tcW w:w="1361" w:type="dxa"/>
            <w:vAlign w:val="center"/>
          </w:tcPr>
          <w:p>
            <w:pPr>
              <w:pStyle w:val="16"/>
            </w:pPr>
            <w:r>
              <w:t>187.73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82.91</w:t>
            </w:r>
          </w:p>
        </w:tc>
        <w:tc>
          <w:tcPr>
            <w:tcW w:w="1361" w:type="dxa"/>
            <w:vAlign w:val="center"/>
          </w:tcPr>
          <w:p>
            <w:pPr>
              <w:pStyle w:val="16"/>
            </w:pPr>
            <w:r>
              <w:t>82.91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104.82</w:t>
            </w:r>
          </w:p>
        </w:tc>
        <w:tc>
          <w:tcPr>
            <w:tcW w:w="1361" w:type="dxa"/>
            <w:vAlign w:val="center"/>
          </w:tcPr>
          <w:p>
            <w:pPr>
              <w:pStyle w:val="16"/>
            </w:pPr>
            <w:r>
              <w:t>104.82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101.27</w:t>
            </w:r>
          </w:p>
        </w:tc>
        <w:tc>
          <w:tcPr>
            <w:tcW w:w="1361" w:type="dxa"/>
            <w:vAlign w:val="center"/>
          </w:tcPr>
          <w:p>
            <w:pPr>
              <w:pStyle w:val="16"/>
            </w:pPr>
            <w:r>
              <w:t>101.27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148.39</w:t>
            </w:r>
          </w:p>
        </w:tc>
        <w:tc>
          <w:tcPr>
            <w:tcW w:w="1361" w:type="dxa"/>
            <w:vAlign w:val="center"/>
          </w:tcPr>
          <w:p>
            <w:pPr>
              <w:pStyle w:val="16"/>
            </w:pPr>
            <w:r>
              <w:t>148.39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2130.34</w:t>
            </w:r>
          </w:p>
        </w:tc>
        <w:tc>
          <w:tcPr>
            <w:tcW w:w="3402" w:type="dxa"/>
            <w:vAlign w:val="center"/>
          </w:tcPr>
          <w:p>
            <w:pPr>
              <w:pStyle w:val="17"/>
            </w:pPr>
            <w:r>
              <w:t>一、一般公共服务支出</w:t>
            </w:r>
          </w:p>
        </w:tc>
        <w:tc>
          <w:tcPr>
            <w:tcW w:w="1474" w:type="dxa"/>
            <w:vAlign w:val="center"/>
          </w:tcPr>
          <w:p>
            <w:pPr>
              <w:pStyle w:val="16"/>
            </w:pPr>
            <w:r>
              <w:t>1692.95</w:t>
            </w:r>
          </w:p>
        </w:tc>
        <w:tc>
          <w:tcPr>
            <w:tcW w:w="1474" w:type="dxa"/>
            <w:vAlign w:val="center"/>
          </w:tcPr>
          <w:p>
            <w:pPr>
              <w:pStyle w:val="16"/>
            </w:pPr>
            <w:r>
              <w:t>1692.95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187.73</w:t>
            </w:r>
          </w:p>
        </w:tc>
        <w:tc>
          <w:tcPr>
            <w:tcW w:w="1474" w:type="dxa"/>
            <w:vAlign w:val="center"/>
          </w:tcPr>
          <w:p>
            <w:pPr>
              <w:pStyle w:val="16"/>
            </w:pPr>
            <w:r>
              <w:t>187.73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101.27</w:t>
            </w:r>
          </w:p>
        </w:tc>
        <w:tc>
          <w:tcPr>
            <w:tcW w:w="1474" w:type="dxa"/>
            <w:vAlign w:val="center"/>
          </w:tcPr>
          <w:p>
            <w:pPr>
              <w:pStyle w:val="16"/>
            </w:pPr>
            <w:r>
              <w:t>101.27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148.39</w:t>
            </w:r>
          </w:p>
        </w:tc>
        <w:tc>
          <w:tcPr>
            <w:tcW w:w="1474" w:type="dxa"/>
            <w:vAlign w:val="center"/>
          </w:tcPr>
          <w:p>
            <w:pPr>
              <w:pStyle w:val="16"/>
            </w:pPr>
            <w:r>
              <w:t>148.39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2130.34</w:t>
            </w:r>
          </w:p>
        </w:tc>
        <w:tc>
          <w:tcPr>
            <w:tcW w:w="3402" w:type="dxa"/>
            <w:vAlign w:val="center"/>
          </w:tcPr>
          <w:p>
            <w:pPr>
              <w:pStyle w:val="19"/>
            </w:pPr>
            <w:r>
              <w:t>本年支出合计</w:t>
            </w:r>
          </w:p>
        </w:tc>
        <w:tc>
          <w:tcPr>
            <w:tcW w:w="1474" w:type="dxa"/>
            <w:vAlign w:val="center"/>
          </w:tcPr>
          <w:p>
            <w:pPr>
              <w:pStyle w:val="20"/>
            </w:pPr>
            <w:r>
              <w:t>2130.34</w:t>
            </w:r>
          </w:p>
        </w:tc>
        <w:tc>
          <w:tcPr>
            <w:tcW w:w="1474" w:type="dxa"/>
            <w:vAlign w:val="center"/>
          </w:tcPr>
          <w:p>
            <w:pPr>
              <w:pStyle w:val="20"/>
            </w:pPr>
            <w:r>
              <w:t>2130.34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2130.34</w:t>
            </w:r>
          </w:p>
        </w:tc>
        <w:tc>
          <w:tcPr>
            <w:tcW w:w="3402" w:type="dxa"/>
            <w:vAlign w:val="center"/>
          </w:tcPr>
          <w:p>
            <w:pPr>
              <w:pStyle w:val="19"/>
            </w:pPr>
            <w:r>
              <w:t>支出总计</w:t>
            </w:r>
          </w:p>
        </w:tc>
        <w:tc>
          <w:tcPr>
            <w:tcW w:w="1474" w:type="dxa"/>
            <w:vAlign w:val="center"/>
          </w:tcPr>
          <w:p>
            <w:pPr>
              <w:pStyle w:val="20"/>
            </w:pPr>
            <w:r>
              <w:t>2130.34</w:t>
            </w:r>
          </w:p>
        </w:tc>
        <w:tc>
          <w:tcPr>
            <w:tcW w:w="1474" w:type="dxa"/>
            <w:vAlign w:val="center"/>
          </w:tcPr>
          <w:p>
            <w:pPr>
              <w:pStyle w:val="20"/>
            </w:pPr>
            <w:r>
              <w:t>2130.34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2130.34</w:t>
            </w:r>
          </w:p>
        </w:tc>
        <w:tc>
          <w:tcPr>
            <w:tcW w:w="2551" w:type="dxa"/>
            <w:vAlign w:val="center"/>
          </w:tcPr>
          <w:p>
            <w:pPr>
              <w:pStyle w:val="20"/>
            </w:pPr>
            <w:r>
              <w:t>1798.34</w:t>
            </w:r>
          </w:p>
        </w:tc>
        <w:tc>
          <w:tcPr>
            <w:tcW w:w="2551" w:type="dxa"/>
            <w:vAlign w:val="center"/>
          </w:tcPr>
          <w:p>
            <w:pPr>
              <w:pStyle w:val="20"/>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1692.95</w:t>
            </w:r>
          </w:p>
        </w:tc>
        <w:tc>
          <w:tcPr>
            <w:tcW w:w="2551" w:type="dxa"/>
            <w:vAlign w:val="center"/>
          </w:tcPr>
          <w:p>
            <w:pPr>
              <w:pStyle w:val="16"/>
            </w:pPr>
            <w:r>
              <w:t>1360.95</w:t>
            </w: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1692.95</w:t>
            </w:r>
          </w:p>
        </w:tc>
        <w:tc>
          <w:tcPr>
            <w:tcW w:w="2551" w:type="dxa"/>
            <w:vAlign w:val="center"/>
          </w:tcPr>
          <w:p>
            <w:pPr>
              <w:pStyle w:val="16"/>
            </w:pPr>
            <w:r>
              <w:t>1360.95</w:t>
            </w: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2011101</w:t>
            </w:r>
          </w:p>
        </w:tc>
        <w:tc>
          <w:tcPr>
            <w:tcW w:w="4535" w:type="dxa"/>
            <w:vAlign w:val="center"/>
          </w:tcPr>
          <w:p>
            <w:pPr>
              <w:pStyle w:val="17"/>
            </w:pPr>
            <w:r>
              <w:t>行政运行</w:t>
            </w:r>
          </w:p>
        </w:tc>
        <w:tc>
          <w:tcPr>
            <w:tcW w:w="2551" w:type="dxa"/>
            <w:vAlign w:val="center"/>
          </w:tcPr>
          <w:p>
            <w:pPr>
              <w:pStyle w:val="16"/>
            </w:pPr>
            <w:r>
              <w:t>1360.95</w:t>
            </w:r>
          </w:p>
        </w:tc>
        <w:tc>
          <w:tcPr>
            <w:tcW w:w="2551" w:type="dxa"/>
            <w:vAlign w:val="center"/>
          </w:tcPr>
          <w:p>
            <w:pPr>
              <w:pStyle w:val="16"/>
            </w:pPr>
            <w:r>
              <w:t>1360.95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2011102</w:t>
            </w:r>
          </w:p>
        </w:tc>
        <w:tc>
          <w:tcPr>
            <w:tcW w:w="4535" w:type="dxa"/>
            <w:vAlign w:val="center"/>
          </w:tcPr>
          <w:p>
            <w:pPr>
              <w:pStyle w:val="17"/>
            </w:pPr>
            <w:r>
              <w:t>一般行政管理事务</w:t>
            </w:r>
          </w:p>
        </w:tc>
        <w:tc>
          <w:tcPr>
            <w:tcW w:w="2551" w:type="dxa"/>
            <w:vAlign w:val="center"/>
          </w:tcPr>
          <w:p>
            <w:pPr>
              <w:pStyle w:val="16"/>
            </w:pPr>
            <w:r>
              <w:t>332.00</w:t>
            </w:r>
          </w:p>
        </w:tc>
        <w:tc>
          <w:tcPr>
            <w:tcW w:w="2551" w:type="dxa"/>
            <w:vAlign w:val="center"/>
          </w:tcPr>
          <w:p>
            <w:pPr>
              <w:pStyle w:val="16"/>
            </w:pPr>
          </w:p>
        </w:tc>
        <w:tc>
          <w:tcPr>
            <w:tcW w:w="2551" w:type="dxa"/>
            <w:vAlign w:val="center"/>
          </w:tcPr>
          <w:p>
            <w:pPr>
              <w:pStyle w:val="16"/>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187.73</w:t>
            </w:r>
          </w:p>
        </w:tc>
        <w:tc>
          <w:tcPr>
            <w:tcW w:w="2551" w:type="dxa"/>
            <w:vAlign w:val="center"/>
          </w:tcPr>
          <w:p>
            <w:pPr>
              <w:pStyle w:val="16"/>
            </w:pPr>
            <w:r>
              <w:t>187.73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187.73</w:t>
            </w:r>
          </w:p>
        </w:tc>
        <w:tc>
          <w:tcPr>
            <w:tcW w:w="2551" w:type="dxa"/>
            <w:vAlign w:val="center"/>
          </w:tcPr>
          <w:p>
            <w:pPr>
              <w:pStyle w:val="16"/>
            </w:pPr>
            <w:r>
              <w:t>187.73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82.91</w:t>
            </w:r>
          </w:p>
        </w:tc>
        <w:tc>
          <w:tcPr>
            <w:tcW w:w="2551" w:type="dxa"/>
            <w:vAlign w:val="center"/>
          </w:tcPr>
          <w:p>
            <w:pPr>
              <w:pStyle w:val="16"/>
            </w:pPr>
            <w:r>
              <w:t>82.91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104.82</w:t>
            </w:r>
          </w:p>
        </w:tc>
        <w:tc>
          <w:tcPr>
            <w:tcW w:w="2551" w:type="dxa"/>
            <w:vAlign w:val="center"/>
          </w:tcPr>
          <w:p>
            <w:pPr>
              <w:pStyle w:val="16"/>
            </w:pPr>
            <w:r>
              <w:t>104.82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101.27</w:t>
            </w:r>
          </w:p>
        </w:tc>
        <w:tc>
          <w:tcPr>
            <w:tcW w:w="2551" w:type="dxa"/>
            <w:vAlign w:val="center"/>
          </w:tcPr>
          <w:p>
            <w:pPr>
              <w:pStyle w:val="16"/>
            </w:pPr>
            <w:r>
              <w:t>101.27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1798.34</w:t>
            </w:r>
          </w:p>
        </w:tc>
        <w:tc>
          <w:tcPr>
            <w:tcW w:w="2551" w:type="dxa"/>
            <w:vAlign w:val="center"/>
          </w:tcPr>
          <w:p>
            <w:pPr>
              <w:pStyle w:val="20"/>
            </w:pPr>
            <w:r>
              <w:t>1509.62</w:t>
            </w:r>
          </w:p>
        </w:tc>
        <w:tc>
          <w:tcPr>
            <w:tcW w:w="2551" w:type="dxa"/>
            <w:vAlign w:val="center"/>
          </w:tcPr>
          <w:p>
            <w:pPr>
              <w:pStyle w:val="20"/>
            </w:pPr>
            <w:r>
              <w:t>288.73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1427.90</w:t>
            </w:r>
          </w:p>
        </w:tc>
        <w:tc>
          <w:tcPr>
            <w:tcW w:w="2551" w:type="dxa"/>
            <w:vAlign w:val="center"/>
          </w:tcPr>
          <w:p>
            <w:pPr>
              <w:pStyle w:val="16"/>
            </w:pPr>
            <w:r>
              <w:t>1427.90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367.51</w:t>
            </w:r>
          </w:p>
        </w:tc>
        <w:tc>
          <w:tcPr>
            <w:tcW w:w="2551" w:type="dxa"/>
            <w:vAlign w:val="center"/>
          </w:tcPr>
          <w:p>
            <w:pPr>
              <w:pStyle w:val="16"/>
            </w:pPr>
            <w:r>
              <w:t>367.51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351.40</w:t>
            </w:r>
          </w:p>
        </w:tc>
        <w:tc>
          <w:tcPr>
            <w:tcW w:w="2551" w:type="dxa"/>
            <w:vAlign w:val="center"/>
          </w:tcPr>
          <w:p>
            <w:pPr>
              <w:pStyle w:val="16"/>
            </w:pPr>
            <w:r>
              <w:t>351.40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29.38</w:t>
            </w:r>
          </w:p>
        </w:tc>
        <w:tc>
          <w:tcPr>
            <w:tcW w:w="2551" w:type="dxa"/>
            <w:vAlign w:val="center"/>
          </w:tcPr>
          <w:p>
            <w:pPr>
              <w:pStyle w:val="16"/>
            </w:pPr>
            <w:r>
              <w:t>29.38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12.06</w:t>
            </w:r>
          </w:p>
        </w:tc>
        <w:tc>
          <w:tcPr>
            <w:tcW w:w="2551" w:type="dxa"/>
            <w:vAlign w:val="center"/>
          </w:tcPr>
          <w:p>
            <w:pPr>
              <w:pStyle w:val="16"/>
            </w:pPr>
            <w:r>
              <w:t>12.06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104.82</w:t>
            </w:r>
          </w:p>
        </w:tc>
        <w:tc>
          <w:tcPr>
            <w:tcW w:w="2551" w:type="dxa"/>
            <w:vAlign w:val="center"/>
          </w:tcPr>
          <w:p>
            <w:pPr>
              <w:pStyle w:val="16"/>
            </w:pPr>
            <w:r>
              <w:t>104.82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57.09</w:t>
            </w:r>
          </w:p>
        </w:tc>
        <w:tc>
          <w:tcPr>
            <w:tcW w:w="2551" w:type="dxa"/>
            <w:vAlign w:val="center"/>
          </w:tcPr>
          <w:p>
            <w:pPr>
              <w:pStyle w:val="16"/>
            </w:pPr>
            <w:r>
              <w:t>57.09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44.18</w:t>
            </w:r>
          </w:p>
        </w:tc>
        <w:tc>
          <w:tcPr>
            <w:tcW w:w="2551" w:type="dxa"/>
            <w:vAlign w:val="center"/>
          </w:tcPr>
          <w:p>
            <w:pPr>
              <w:pStyle w:val="16"/>
            </w:pPr>
            <w:r>
              <w:t>44.18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3.46</w:t>
            </w:r>
          </w:p>
        </w:tc>
        <w:tc>
          <w:tcPr>
            <w:tcW w:w="2551" w:type="dxa"/>
            <w:vAlign w:val="center"/>
          </w:tcPr>
          <w:p>
            <w:pPr>
              <w:pStyle w:val="16"/>
            </w:pPr>
            <w:r>
              <w:t>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148.39</w:t>
            </w:r>
          </w:p>
        </w:tc>
        <w:tc>
          <w:tcPr>
            <w:tcW w:w="2551" w:type="dxa"/>
            <w:vAlign w:val="center"/>
          </w:tcPr>
          <w:p>
            <w:pPr>
              <w:pStyle w:val="16"/>
            </w:pPr>
            <w:r>
              <w:t>148.39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309.60</w:t>
            </w:r>
          </w:p>
        </w:tc>
        <w:tc>
          <w:tcPr>
            <w:tcW w:w="2551" w:type="dxa"/>
            <w:vAlign w:val="center"/>
          </w:tcPr>
          <w:p>
            <w:pPr>
              <w:pStyle w:val="16"/>
            </w:pPr>
            <w:r>
              <w:t>309.60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284.73</w:t>
            </w:r>
          </w:p>
        </w:tc>
        <w:tc>
          <w:tcPr>
            <w:tcW w:w="2551" w:type="dxa"/>
            <w:vAlign w:val="center"/>
          </w:tcPr>
          <w:p>
            <w:pPr>
              <w:pStyle w:val="16"/>
            </w:pPr>
          </w:p>
        </w:tc>
        <w:tc>
          <w:tcPr>
            <w:tcW w:w="2551" w:type="dxa"/>
            <w:vAlign w:val="center"/>
          </w:tcPr>
          <w:p>
            <w:pPr>
              <w:pStyle w:val="16"/>
            </w:pPr>
            <w:r>
              <w:t>284.73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31.80</w:t>
            </w:r>
          </w:p>
        </w:tc>
        <w:tc>
          <w:tcPr>
            <w:tcW w:w="2551" w:type="dxa"/>
            <w:vAlign w:val="center"/>
          </w:tcPr>
          <w:p>
            <w:pPr>
              <w:pStyle w:val="16"/>
            </w:pPr>
          </w:p>
        </w:tc>
        <w:tc>
          <w:tcPr>
            <w:tcW w:w="2551" w:type="dxa"/>
            <w:vAlign w:val="center"/>
          </w:tcPr>
          <w:p>
            <w:pPr>
              <w:pStyle w:val="16"/>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51.65</w:t>
            </w:r>
          </w:p>
        </w:tc>
        <w:tc>
          <w:tcPr>
            <w:tcW w:w="2551" w:type="dxa"/>
            <w:vAlign w:val="center"/>
          </w:tcPr>
          <w:p>
            <w:pPr>
              <w:pStyle w:val="16"/>
            </w:pPr>
          </w:p>
        </w:tc>
        <w:tc>
          <w:tcPr>
            <w:tcW w:w="2551" w:type="dxa"/>
            <w:vAlign w:val="center"/>
          </w:tcPr>
          <w:p>
            <w:pPr>
              <w:pStyle w:val="16"/>
            </w:pPr>
            <w:r>
              <w:t>51.65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30227</w:t>
            </w:r>
          </w:p>
        </w:tc>
        <w:tc>
          <w:tcPr>
            <w:tcW w:w="4535" w:type="dxa"/>
            <w:vAlign w:val="center"/>
          </w:tcPr>
          <w:p>
            <w:pPr>
              <w:pStyle w:val="17"/>
            </w:pPr>
            <w:r>
              <w:t>委托业务费</w:t>
            </w:r>
          </w:p>
        </w:tc>
        <w:tc>
          <w:tcPr>
            <w:tcW w:w="2551" w:type="dxa"/>
            <w:vAlign w:val="center"/>
          </w:tcPr>
          <w:p>
            <w:pPr>
              <w:pStyle w:val="16"/>
            </w:pPr>
            <w:r>
              <w:t>94.69</w:t>
            </w:r>
          </w:p>
        </w:tc>
        <w:tc>
          <w:tcPr>
            <w:tcW w:w="2551" w:type="dxa"/>
            <w:vAlign w:val="center"/>
          </w:tcPr>
          <w:p>
            <w:pPr>
              <w:pStyle w:val="16"/>
            </w:pPr>
          </w:p>
        </w:tc>
        <w:tc>
          <w:tcPr>
            <w:tcW w:w="2551" w:type="dxa"/>
            <w:vAlign w:val="center"/>
          </w:tcPr>
          <w:p>
            <w:pPr>
              <w:pStyle w:val="16"/>
            </w:pPr>
            <w:r>
              <w:t>94.69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9.19</w:t>
            </w:r>
          </w:p>
        </w:tc>
        <w:tc>
          <w:tcPr>
            <w:tcW w:w="2551" w:type="dxa"/>
            <w:vAlign w:val="center"/>
          </w:tcPr>
          <w:p>
            <w:pPr>
              <w:pStyle w:val="16"/>
            </w:pPr>
          </w:p>
        </w:tc>
        <w:tc>
          <w:tcPr>
            <w:tcW w:w="2551" w:type="dxa"/>
            <w:vAlign w:val="center"/>
          </w:tcPr>
          <w:p>
            <w:pPr>
              <w:pStyle w:val="16"/>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13.50</w:t>
            </w:r>
          </w:p>
        </w:tc>
        <w:tc>
          <w:tcPr>
            <w:tcW w:w="2551" w:type="dxa"/>
            <w:vAlign w:val="center"/>
          </w:tcPr>
          <w:p>
            <w:pPr>
              <w:pStyle w:val="16"/>
            </w:pPr>
          </w:p>
        </w:tc>
        <w:tc>
          <w:tcPr>
            <w:tcW w:w="2551" w:type="dxa"/>
            <w:vAlign w:val="center"/>
          </w:tcPr>
          <w:p>
            <w:pPr>
              <w:pStyle w:val="16"/>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57.42</w:t>
            </w:r>
          </w:p>
        </w:tc>
        <w:tc>
          <w:tcPr>
            <w:tcW w:w="2551" w:type="dxa"/>
            <w:vAlign w:val="center"/>
          </w:tcPr>
          <w:p>
            <w:pPr>
              <w:pStyle w:val="16"/>
            </w:pPr>
          </w:p>
        </w:tc>
        <w:tc>
          <w:tcPr>
            <w:tcW w:w="2551" w:type="dxa"/>
            <w:vAlign w:val="center"/>
          </w:tcPr>
          <w:p>
            <w:pPr>
              <w:pStyle w:val="16"/>
            </w:pPr>
            <w:r>
              <w:t>57.42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4.42</w:t>
            </w:r>
          </w:p>
        </w:tc>
        <w:tc>
          <w:tcPr>
            <w:tcW w:w="2551" w:type="dxa"/>
            <w:vAlign w:val="center"/>
          </w:tcPr>
          <w:p>
            <w:pPr>
              <w:pStyle w:val="16"/>
            </w:pPr>
          </w:p>
        </w:tc>
        <w:tc>
          <w:tcPr>
            <w:tcW w:w="2551" w:type="dxa"/>
            <w:vAlign w:val="center"/>
          </w:tcPr>
          <w:p>
            <w:pPr>
              <w:pStyle w:val="16"/>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81.71</w:t>
            </w:r>
          </w:p>
        </w:tc>
        <w:tc>
          <w:tcPr>
            <w:tcW w:w="2551" w:type="dxa"/>
            <w:vAlign w:val="center"/>
          </w:tcPr>
          <w:p>
            <w:pPr>
              <w:pStyle w:val="16"/>
            </w:pPr>
            <w:r>
              <w:t>81.71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21.71</w:t>
            </w:r>
          </w:p>
        </w:tc>
        <w:tc>
          <w:tcPr>
            <w:tcW w:w="2551" w:type="dxa"/>
            <w:vAlign w:val="center"/>
          </w:tcPr>
          <w:p>
            <w:pPr>
              <w:pStyle w:val="16"/>
            </w:pPr>
            <w:r>
              <w:t>21.71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30399</w:t>
            </w:r>
          </w:p>
        </w:tc>
        <w:tc>
          <w:tcPr>
            <w:tcW w:w="4535" w:type="dxa"/>
            <w:vAlign w:val="center"/>
          </w:tcPr>
          <w:p>
            <w:pPr>
              <w:pStyle w:val="17"/>
            </w:pPr>
            <w:r>
              <w:t>其他对个人和家庭的补助</w:t>
            </w:r>
          </w:p>
        </w:tc>
        <w:tc>
          <w:tcPr>
            <w:tcW w:w="2551" w:type="dxa"/>
            <w:vAlign w:val="center"/>
          </w:tcPr>
          <w:p>
            <w:pPr>
              <w:pStyle w:val="16"/>
            </w:pPr>
            <w:r>
              <w:t>58.48</w:t>
            </w:r>
          </w:p>
        </w:tc>
        <w:tc>
          <w:tcPr>
            <w:tcW w:w="2551" w:type="dxa"/>
            <w:vAlign w:val="center"/>
          </w:tcPr>
          <w:p>
            <w:pPr>
              <w:pStyle w:val="16"/>
            </w:pPr>
            <w:r>
              <w:t>58.48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222001中国共产党石家庄市鹿泉区纪律检查委员会本级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28.60</w:t>
            </w:r>
          </w:p>
        </w:tc>
        <w:tc>
          <w:tcPr>
            <w:tcW w:w="2381" w:type="dxa"/>
            <w:vAlign w:val="center"/>
          </w:tcPr>
          <w:p>
            <w:pPr>
              <w:pStyle w:val="20"/>
            </w:pPr>
            <w:r>
              <w:t>28.60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28.60</w:t>
            </w:r>
          </w:p>
        </w:tc>
        <w:tc>
          <w:tcPr>
            <w:tcW w:w="2381" w:type="dxa"/>
            <w:vAlign w:val="center"/>
          </w:tcPr>
          <w:p>
            <w:pPr>
              <w:pStyle w:val="16"/>
            </w:pPr>
            <w:r>
              <w:t>28.60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r>
              <w:t>26.60</w:t>
            </w:r>
          </w:p>
        </w:tc>
        <w:tc>
          <w:tcPr>
            <w:tcW w:w="2381" w:type="dxa"/>
            <w:vAlign w:val="center"/>
          </w:tcPr>
          <w:p>
            <w:pPr>
              <w:pStyle w:val="16"/>
            </w:pPr>
            <w:r>
              <w:t>26.60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r>
              <w:t>21.60</w:t>
            </w:r>
          </w:p>
        </w:tc>
        <w:tc>
          <w:tcPr>
            <w:tcW w:w="2381" w:type="dxa"/>
            <w:vAlign w:val="center"/>
          </w:tcPr>
          <w:p>
            <w:pPr>
              <w:pStyle w:val="16"/>
            </w:pPr>
            <w:r>
              <w:t>21.60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中国共产党石家庄市鹿泉区纪律检查委员会</w:t>
      </w:r>
    </w:p>
    <w:p>
      <w:pPr>
        <w:jc w:val="center"/>
      </w:pP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eastAsia="方正仿宋_GBK"/>
          <w:color w:val="000000"/>
          <w:sz w:val="28"/>
        </w:rPr>
      </w:pPr>
      <w:r>
        <w:rPr>
          <w:rFonts w:eastAsia="方正仿宋_GBK"/>
          <w:color w:val="000000"/>
          <w:sz w:val="28"/>
        </w:rPr>
        <w:t>按照《预算法》、《地方预决算公开操作规程》和《关于进一步推进预算公开工作的实施意见》规定，现将中国共产党石家庄市鹿泉区纪律检查委员会2022年</w:t>
      </w:r>
      <w:r>
        <w:rPr>
          <w:rFonts w:hint="eastAsia" w:eastAsia="方正仿宋_GBK"/>
          <w:color w:val="000000"/>
          <w:sz w:val="28"/>
          <w:lang w:eastAsia="zh-CN"/>
        </w:rPr>
        <w:t>单位</w:t>
      </w:r>
      <w:r>
        <w:rPr>
          <w:rFonts w:eastAsia="方正仿宋_GBK"/>
          <w:color w:val="000000"/>
          <w:sz w:val="28"/>
        </w:rPr>
        <w:t>预算公开如下：</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outlineLvl w:val="2"/>
        <w:rPr>
          <w:rFonts w:hint="eastAsia" w:ascii="黑体" w:hAnsi="黑体" w:eastAsia="黑体"/>
          <w:kern w:val="2"/>
          <w:sz w:val="32"/>
          <w:szCs w:val="22"/>
          <w:lang w:eastAsia="zh-CN"/>
        </w:rPr>
      </w:pPr>
      <w:r>
        <w:rPr>
          <w:rFonts w:hint="eastAsia" w:ascii="黑体" w:hAnsi="黑体" w:eastAsia="黑体"/>
          <w:kern w:val="2"/>
          <w:sz w:val="32"/>
          <w:szCs w:val="22"/>
          <w:lang w:eastAsia="zh-CN"/>
        </w:rPr>
        <w:t>一、单位职责及机构设置情况</w:t>
      </w:r>
    </w:p>
    <w:p>
      <w:pPr>
        <w:keepNext w:val="0"/>
        <w:keepLines w:val="0"/>
        <w:pageBreakBefore w:val="0"/>
        <w:kinsoku/>
        <w:wordWrap/>
        <w:overflowPunct/>
        <w:topLinePunct w:val="0"/>
        <w:autoSpaceDE/>
        <w:autoSpaceDN/>
        <w:bidi w:val="0"/>
        <w:adjustRightInd/>
        <w:snapToGrid/>
        <w:spacing w:line="580" w:lineRule="exact"/>
        <w:ind w:firstLine="640"/>
        <w:textAlignment w:val="auto"/>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2"/>
        <w:keepNext w:val="0"/>
        <w:keepLines w:val="0"/>
        <w:pageBreakBefore w:val="0"/>
        <w:kinsoku/>
        <w:wordWrap/>
        <w:overflowPunct/>
        <w:topLinePunct w:val="0"/>
        <w:autoSpaceDE/>
        <w:autoSpaceDN/>
        <w:bidi w:val="0"/>
        <w:adjustRightInd/>
        <w:snapToGrid/>
        <w:spacing w:line="580" w:lineRule="exact"/>
        <w:textAlignment w:val="auto"/>
      </w:pPr>
      <w:r>
        <w:t>（一）负责全区党的纪律检查工作。贯彻落实党中央和</w:t>
      </w:r>
      <w:r>
        <w:rPr>
          <w:rFonts w:hint="eastAsia"/>
          <w:lang w:eastAsia="zh-CN"/>
        </w:rPr>
        <w:t>区</w:t>
      </w:r>
      <w:r>
        <w:t>委、市委、区委关于纪律检查工作的决策部署，维护党的章程和其他党内法规，检查党的路线方针政策和决议的执行情况，协助区委推进全面从严治党、加强党风建设和组织协调反腐败工作。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2"/>
        <w:keepNext w:val="0"/>
        <w:keepLines w:val="0"/>
        <w:pageBreakBefore w:val="0"/>
        <w:kinsoku/>
        <w:wordWrap/>
        <w:overflowPunct/>
        <w:topLinePunct w:val="0"/>
        <w:autoSpaceDE/>
        <w:autoSpaceDN/>
        <w:bidi w:val="0"/>
        <w:adjustRightInd/>
        <w:snapToGrid/>
        <w:spacing w:line="580" w:lineRule="exact"/>
        <w:textAlignment w:val="auto"/>
      </w:pPr>
      <w:r>
        <w:t>（三）支持配合巡视、巡察工作。承担巡视、巡察整改日常监督责任，做好巡视、巡察整改督查督办工作，依规依纪依法处置巡视、巡察移交的反映领导干部问题线索。</w:t>
      </w:r>
    </w:p>
    <w:p>
      <w:pPr>
        <w:pStyle w:val="22"/>
        <w:keepNext w:val="0"/>
        <w:keepLines w:val="0"/>
        <w:pageBreakBefore w:val="0"/>
        <w:kinsoku/>
        <w:wordWrap/>
        <w:overflowPunct/>
        <w:topLinePunct w:val="0"/>
        <w:autoSpaceDE/>
        <w:autoSpaceDN/>
        <w:bidi w:val="0"/>
        <w:adjustRightInd/>
        <w:snapToGrid/>
        <w:spacing w:line="580" w:lineRule="exact"/>
        <w:textAlignment w:val="auto"/>
      </w:pPr>
      <w:r>
        <w:t>（四）负责全区监察工作。贯彻落实党中央和</w:t>
      </w:r>
      <w:r>
        <w:rPr>
          <w:rFonts w:hint="eastAsia"/>
          <w:lang w:eastAsia="zh-CN"/>
        </w:rPr>
        <w:t>区</w:t>
      </w:r>
      <w:r>
        <w:t>委、市委、区委关于监察工作的决策部署，维护宪法法律，依法对区委管理的行使公权力的公职人员进行监察，调查职务违法和职务犯罪，开展廉政建设和反腐败工作。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2"/>
        <w:keepNext w:val="0"/>
        <w:keepLines w:val="0"/>
        <w:pageBreakBefore w:val="0"/>
        <w:kinsoku/>
        <w:wordWrap/>
        <w:overflowPunct/>
        <w:topLinePunct w:val="0"/>
        <w:autoSpaceDE/>
        <w:autoSpaceDN/>
        <w:bidi w:val="0"/>
        <w:adjustRightInd/>
        <w:snapToGrid/>
        <w:spacing w:line="580" w:lineRule="exact"/>
        <w:textAlignment w:val="auto"/>
      </w:pPr>
      <w:r>
        <w:t>（六）负责组织协调全面从严治党、党风廉政建设和反腐败宣传教育工作。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（七）负责综合分析全面从严治党、党风廉政建设和反腐败工作情况，对纪检监察工作重要理论及实践问题进行调查研究；制定或者修改全区纪检监察制度规定，参与起草有关规范性文件。</w:t>
      </w:r>
    </w:p>
    <w:p>
      <w:pPr>
        <w:pStyle w:val="22"/>
        <w:keepNext w:val="0"/>
        <w:keepLines w:val="0"/>
        <w:pageBreakBefore w:val="0"/>
        <w:kinsoku/>
        <w:wordWrap/>
        <w:overflowPunct/>
        <w:topLinePunct w:val="0"/>
        <w:autoSpaceDE/>
        <w:autoSpaceDN/>
        <w:bidi w:val="0"/>
        <w:adjustRightInd/>
        <w:snapToGrid/>
        <w:spacing w:line="580" w:lineRule="exact"/>
        <w:textAlignment w:val="auto"/>
      </w:pPr>
      <w:r>
        <w:t>（八）负责组织协调全区反腐败追逃追赃和防逃工作，督促有关单位做好相关工作。</w:t>
      </w:r>
    </w:p>
    <w:p>
      <w:pPr>
        <w:pStyle w:val="22"/>
        <w:keepNext w:val="0"/>
        <w:keepLines w:val="0"/>
        <w:pageBreakBefore w:val="0"/>
        <w:kinsoku/>
        <w:wordWrap/>
        <w:overflowPunct/>
        <w:topLinePunct w:val="0"/>
        <w:autoSpaceDE/>
        <w:autoSpaceDN/>
        <w:bidi w:val="0"/>
        <w:adjustRightInd/>
        <w:snapToGrid/>
        <w:spacing w:line="580" w:lineRule="exact"/>
        <w:textAlignment w:val="auto"/>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pPr>
        <w:pStyle w:val="22"/>
        <w:keepNext w:val="0"/>
        <w:keepLines w:val="0"/>
        <w:pageBreakBefore w:val="0"/>
        <w:kinsoku/>
        <w:wordWrap/>
        <w:overflowPunct/>
        <w:topLinePunct w:val="0"/>
        <w:autoSpaceDE/>
        <w:autoSpaceDN/>
        <w:bidi w:val="0"/>
        <w:adjustRightInd/>
        <w:snapToGrid/>
        <w:spacing w:line="580" w:lineRule="exact"/>
        <w:textAlignment w:val="auto"/>
      </w:pPr>
      <w:r>
        <w:t>（十）完成市纪委监委、区委交办的其他任务。</w:t>
      </w:r>
    </w:p>
    <w:p>
      <w:pPr>
        <w:pStyle w:val="22"/>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单位名称</w:t>
            </w:r>
          </w:p>
        </w:tc>
        <w:tc>
          <w:tcPr>
            <w:tcW w:w="1843"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单位性质</w:t>
            </w:r>
          </w:p>
        </w:tc>
        <w:tc>
          <w:tcPr>
            <w:tcW w:w="2126"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单位规格</w:t>
            </w:r>
          </w:p>
        </w:tc>
        <w:tc>
          <w:tcPr>
            <w:tcW w:w="3827" w:type="dxa"/>
            <w:shd w:val="clear" w:color="auto" w:fill="auto"/>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中国共产党石家庄市鹿泉区纪律检查委员会本级</w:t>
            </w:r>
          </w:p>
        </w:tc>
        <w:tc>
          <w:tcPr>
            <w:tcW w:w="1843"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行政机关</w:t>
            </w:r>
          </w:p>
        </w:tc>
        <w:tc>
          <w:tcPr>
            <w:tcW w:w="2126"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副处（县）级</w:t>
            </w:r>
          </w:p>
        </w:tc>
        <w:tc>
          <w:tcPr>
            <w:tcW w:w="3827" w:type="dxa"/>
            <w:shd w:val="clear" w:color="auto" w:fill="auto"/>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石家庄市</w:t>
            </w:r>
            <w:r>
              <w:rPr>
                <w:rFonts w:ascii="方正书宋_GBK" w:eastAsia="方正书宋_GBK"/>
                <w:sz w:val="21"/>
                <w:szCs w:val="21"/>
              </w:rPr>
              <w:t>鹿泉区委廉政教育中心（</w:t>
            </w:r>
            <w:r>
              <w:rPr>
                <w:rFonts w:hint="eastAsia" w:ascii="方正书宋_GBK" w:eastAsia="方正书宋_GBK"/>
                <w:sz w:val="21"/>
                <w:szCs w:val="21"/>
              </w:rPr>
              <w:t>不独立</w:t>
            </w:r>
            <w:r>
              <w:rPr>
                <w:rFonts w:ascii="方正书宋_GBK" w:eastAsia="方正书宋_GBK"/>
                <w:sz w:val="21"/>
                <w:szCs w:val="21"/>
              </w:rPr>
              <w:t>核算，统一纳入区纪委核算）</w:t>
            </w:r>
          </w:p>
        </w:tc>
        <w:tc>
          <w:tcPr>
            <w:tcW w:w="1843"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全额</w:t>
            </w:r>
            <w:r>
              <w:rPr>
                <w:rFonts w:ascii="方正书宋_GBK" w:eastAsia="方正书宋_GBK"/>
                <w:sz w:val="21"/>
                <w:szCs w:val="21"/>
              </w:rPr>
              <w:t>事业</w:t>
            </w:r>
          </w:p>
        </w:tc>
        <w:tc>
          <w:tcPr>
            <w:tcW w:w="2126"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正科级</w:t>
            </w:r>
          </w:p>
        </w:tc>
        <w:tc>
          <w:tcPr>
            <w:tcW w:w="3827"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财政性</w:t>
            </w:r>
            <w:r>
              <w:rPr>
                <w:rFonts w:ascii="方正书宋_GBK" w:eastAsia="方正书宋_GBK"/>
                <w:sz w:val="21"/>
                <w:szCs w:val="21"/>
              </w:rPr>
              <w:t>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中共</w:t>
            </w:r>
            <w:r>
              <w:rPr>
                <w:rFonts w:ascii="方正书宋_GBK" w:eastAsia="方正书宋_GBK"/>
                <w:sz w:val="21"/>
                <w:szCs w:val="21"/>
              </w:rPr>
              <w:t>石家庄市鹿泉区委巡察工作领导小组</w:t>
            </w:r>
            <w:r>
              <w:rPr>
                <w:rFonts w:hint="eastAsia" w:ascii="方正书宋_GBK" w:eastAsia="方正书宋_GBK"/>
                <w:sz w:val="21"/>
                <w:szCs w:val="21"/>
              </w:rPr>
              <w:t>办公室</w:t>
            </w:r>
            <w:r>
              <w:rPr>
                <w:rFonts w:ascii="方正书宋_GBK" w:eastAsia="方正书宋_GBK"/>
                <w:sz w:val="21"/>
                <w:szCs w:val="21"/>
              </w:rPr>
              <w:t>（</w:t>
            </w:r>
            <w:r>
              <w:rPr>
                <w:rFonts w:hint="eastAsia" w:ascii="方正书宋_GBK" w:eastAsia="方正书宋_GBK"/>
                <w:sz w:val="21"/>
                <w:szCs w:val="21"/>
              </w:rPr>
              <w:t>区委</w:t>
            </w:r>
            <w:r>
              <w:rPr>
                <w:rFonts w:ascii="方正书宋_GBK" w:eastAsia="方正书宋_GBK"/>
                <w:sz w:val="21"/>
                <w:szCs w:val="21"/>
              </w:rPr>
              <w:t>工作机</w:t>
            </w:r>
            <w:r>
              <w:rPr>
                <w:rFonts w:hint="eastAsia" w:ascii="方正书宋_GBK" w:eastAsia="方正书宋_GBK"/>
                <w:sz w:val="21"/>
                <w:szCs w:val="21"/>
              </w:rPr>
              <w:t>关</w:t>
            </w:r>
            <w:r>
              <w:rPr>
                <w:rFonts w:ascii="方正书宋_GBK" w:eastAsia="方正书宋_GBK"/>
                <w:sz w:val="21"/>
                <w:szCs w:val="21"/>
              </w:rPr>
              <w:t>，设在区纪委）</w:t>
            </w:r>
          </w:p>
        </w:tc>
        <w:tc>
          <w:tcPr>
            <w:tcW w:w="1843"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行政</w:t>
            </w:r>
            <w:r>
              <w:rPr>
                <w:rFonts w:ascii="方正书宋_GBK" w:eastAsia="方正书宋_GBK"/>
                <w:sz w:val="21"/>
                <w:szCs w:val="21"/>
              </w:rPr>
              <w:t>机关</w:t>
            </w:r>
          </w:p>
        </w:tc>
        <w:tc>
          <w:tcPr>
            <w:tcW w:w="2126" w:type="dxa"/>
            <w:shd w:val="clear" w:color="auto" w:fill="auto"/>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正科级</w:t>
            </w:r>
          </w:p>
        </w:tc>
        <w:tc>
          <w:tcPr>
            <w:tcW w:w="3827" w:type="dxa"/>
            <w:shd w:val="clear" w:color="auto" w:fill="auto"/>
            <w:noWrap w:val="0"/>
            <w:vAlign w:val="center"/>
          </w:tcPr>
          <w:p>
            <w:pPr>
              <w:spacing w:line="300" w:lineRule="exact"/>
              <w:ind w:firstLine="1365" w:firstLineChars="650"/>
              <w:rPr>
                <w:rFonts w:hint="eastAsia" w:ascii="方正书宋_GBK" w:eastAsia="方正书宋_GBK"/>
                <w:sz w:val="21"/>
                <w:szCs w:val="21"/>
              </w:rPr>
            </w:pPr>
            <w:r>
              <w:rPr>
                <w:rFonts w:hint="eastAsia" w:ascii="方正书宋_GBK" w:eastAsia="方正书宋_GBK"/>
                <w:sz w:val="21"/>
                <w:szCs w:val="21"/>
              </w:rPr>
              <w:t>财政</w:t>
            </w:r>
            <w:r>
              <w:rPr>
                <w:rFonts w:ascii="方正书宋_GBK" w:eastAsia="方正书宋_GBK"/>
                <w:sz w:val="21"/>
                <w:szCs w:val="21"/>
              </w:rPr>
              <w:t>拨款</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jc w:val="left"/>
        <w:textAlignment w:val="auto"/>
        <w:outlineLvl w:val="2"/>
        <w:rPr>
          <w:rFonts w:hint="eastAsia" w:ascii="黑体" w:hAnsi="黑体" w:eastAsia="黑体"/>
          <w:kern w:val="2"/>
          <w:sz w:val="32"/>
          <w:szCs w:val="22"/>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2"/>
        <w:rPr>
          <w:rFonts w:hint="eastAsia" w:ascii="黑体" w:hAnsi="黑体" w:eastAsia="黑体"/>
          <w:kern w:val="2"/>
          <w:sz w:val="32"/>
          <w:szCs w:val="32"/>
          <w:lang w:eastAsia="zh-CN"/>
        </w:rPr>
      </w:pPr>
      <w:r>
        <w:rPr>
          <w:rFonts w:hint="eastAsia" w:ascii="黑体" w:hAnsi="黑体" w:eastAsia="黑体"/>
          <w:kern w:val="2"/>
          <w:sz w:val="32"/>
          <w:szCs w:val="32"/>
          <w:lang w:eastAsia="zh-CN"/>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区单位</w:t>
      </w:r>
      <w:r>
        <w:rPr>
          <w:rFonts w:eastAsia="方正仿宋_GBK"/>
          <w:color w:val="000000"/>
          <w:sz w:val="28"/>
        </w:rPr>
        <w:t>预算的编制实行综合预算管理，即全部收入和支出都反映在预算中。中国共产党石家庄市鹿泉区纪律检查委员会机关</w:t>
      </w:r>
      <w:r>
        <w:rPr>
          <w:rFonts w:hint="eastAsia" w:eastAsia="方正仿宋_GBK"/>
          <w:color w:val="000000"/>
          <w:sz w:val="28"/>
          <w:lang w:eastAsia="zh-CN"/>
        </w:rPr>
        <w:t>、巡察办</w:t>
      </w:r>
      <w:r>
        <w:rPr>
          <w:rFonts w:eastAsia="方正仿宋_GBK"/>
          <w:color w:val="000000"/>
          <w:sz w:val="28"/>
        </w:rPr>
        <w:t>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3"/>
      </w:pPr>
      <w:r>
        <w:t>1、收入说明</w:t>
      </w:r>
    </w:p>
    <w:p>
      <w:pPr>
        <w:pStyle w:val="23"/>
      </w:pPr>
      <w:r>
        <w:t>反映本</w:t>
      </w:r>
      <w:r>
        <w:rPr>
          <w:rFonts w:hint="eastAsia"/>
          <w:lang w:eastAsia="zh-CN"/>
        </w:rPr>
        <w:t>单位</w:t>
      </w:r>
      <w:r>
        <w:t>当年全部收入。2022年预算收入2130.34万元，其中：一般公共预算收入2130.34万元，基金预算收入0万元，财政专户核拨收入0万元，其他来源收入0万元。</w:t>
      </w:r>
    </w:p>
    <w:p>
      <w:pPr>
        <w:pStyle w:val="23"/>
      </w:pPr>
      <w:r>
        <w:t>2、支出说明</w:t>
      </w:r>
    </w:p>
    <w:p>
      <w:pPr>
        <w:pStyle w:val="23"/>
      </w:pPr>
      <w:r>
        <w:t>收支预算总表支出栏、基本支出表、项目支出表按经济分类和支出功能分类科目编制，反映中共鹿泉区纪律检查委员会年度</w:t>
      </w:r>
      <w:r>
        <w:rPr>
          <w:rFonts w:hint="eastAsia"/>
          <w:lang w:eastAsia="zh-CN"/>
        </w:rPr>
        <w:t>单位</w:t>
      </w:r>
      <w:r>
        <w:t>预算中支出预算的总体情况。2022年</w:t>
      </w:r>
      <w:r>
        <w:rPr>
          <w:rFonts w:hint="eastAsia"/>
          <w:lang w:eastAsia="zh-CN"/>
        </w:rPr>
        <w:t>单位</w:t>
      </w:r>
      <w:r>
        <w:t>支出预算为2130.34万元，其中基本支出1798.34万元，包括人员经费1509.62万元和日常公用经费288.72万元；项目支出332万元，主要为纪检监察业务费200万元，乡镇纪检监察业务费27万元，巡察巡视专项经费100万元，公务用车购置5万元。</w:t>
      </w:r>
    </w:p>
    <w:p>
      <w:pPr>
        <w:pStyle w:val="23"/>
      </w:pPr>
      <w:r>
        <w:t>3、比上年增减情况</w:t>
      </w:r>
    </w:p>
    <w:p>
      <w:pPr>
        <w:pStyle w:val="23"/>
      </w:pPr>
      <w:r>
        <w:t>2022年</w:t>
      </w:r>
      <w:r>
        <w:rPr>
          <w:rFonts w:hint="eastAsia"/>
          <w:lang w:eastAsia="zh-CN"/>
        </w:rPr>
        <w:t>单位</w:t>
      </w:r>
      <w:r>
        <w:t>预算收支安排2130.34万元，较2021年减少1.47万元，其中：基本支出增加25.53万元，主要是人员增加，相应增加人员经费和日常公用经费；项目支出减少27万元，主要是减少了纪检内网终端安可替代工程50万元，纪检监察外网建设10万元，招待费2万元，合计减少62万元。增加了纪检监察业务费30万元，公务用车购置5万元。</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firstLine="641"/>
        <w:textAlignment w:val="auto"/>
        <w:outlineLvl w:val="2"/>
        <w:rPr>
          <w:rFonts w:ascii="黑体" w:hAnsi="黑体" w:eastAsia="黑体" w:cs="黑体"/>
          <w:color w:val="000000"/>
          <w:sz w:val="32"/>
        </w:rPr>
      </w:pPr>
      <w:r>
        <w:rPr>
          <w:rFonts w:ascii="黑体" w:hAnsi="黑体" w:eastAsia="黑体" w:cs="黑体"/>
          <w:color w:val="000000"/>
          <w:sz w:val="32"/>
        </w:rPr>
        <w:t>三、机关运行经费安排情况</w:t>
      </w:r>
    </w:p>
    <w:p>
      <w:pPr>
        <w:widowControl w:val="0"/>
        <w:spacing w:line="500" w:lineRule="exact"/>
        <w:ind w:firstLine="640"/>
        <w:jc w:val="both"/>
        <w:rPr>
          <w:rFonts w:ascii="Times New Roman" w:hAnsi="Times New Roman" w:eastAsia="方正仿宋_GBK"/>
          <w:kern w:val="2"/>
          <w:sz w:val="28"/>
          <w:szCs w:val="28"/>
          <w:lang w:val="en-US" w:eastAsia="uk-UA"/>
        </w:rPr>
      </w:pPr>
      <w:r>
        <w:rPr>
          <w:rFonts w:ascii="Times New Roman" w:hAnsi="Times New Roman" w:eastAsia="方正仿宋_GBK"/>
          <w:kern w:val="2"/>
          <w:sz w:val="28"/>
          <w:szCs w:val="28"/>
          <w:lang w:val="en-US" w:eastAsia="uk-UA"/>
        </w:rPr>
        <w:t>2022年，我</w:t>
      </w:r>
      <w:r>
        <w:rPr>
          <w:rFonts w:hint="eastAsia" w:ascii="Times New Roman" w:hAnsi="Times New Roman" w:eastAsia="方正仿宋_GBK"/>
          <w:kern w:val="2"/>
          <w:sz w:val="28"/>
          <w:szCs w:val="28"/>
          <w:lang w:val="en-US" w:eastAsia="zh-CN"/>
        </w:rPr>
        <w:t>单位</w:t>
      </w:r>
      <w:r>
        <w:rPr>
          <w:rFonts w:ascii="Times New Roman" w:hAnsi="Times New Roman" w:eastAsia="方正仿宋_GBK"/>
          <w:kern w:val="2"/>
          <w:sz w:val="28"/>
          <w:szCs w:val="28"/>
          <w:lang w:val="en-US" w:eastAsia="uk-UA"/>
        </w:rPr>
        <w:t>机关运行经费共计安排288.72万元，主要用于保证机关正常运转的办公及印刷费、邮电费、差旅费、会议费、福利费、工会经费、委托业务费、一般设备购置费、日常维修费、公务车运行维护费、公务交通补贴、移动通讯补贴等支出。</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firstLine="640" w:firstLineChars="200"/>
        <w:textAlignment w:val="auto"/>
        <w:outlineLvl w:val="2"/>
      </w:pPr>
      <w:r>
        <w:rPr>
          <w:rFonts w:ascii="黑体" w:hAnsi="黑体" w:eastAsia="黑体" w:cs="黑体"/>
          <w:color w:val="000000"/>
          <w:sz w:val="32"/>
        </w:rPr>
        <w:t>四、财政拨款“三公”经费预算情况及增减变化原因</w:t>
      </w:r>
    </w:p>
    <w:p>
      <w:pPr>
        <w:pStyle w:val="25"/>
        <w:rPr>
          <w:rFonts w:hint="eastAsia" w:ascii="黑体" w:hAnsi="黑体" w:eastAsia="黑体"/>
          <w:kern w:val="2"/>
          <w:sz w:val="32"/>
          <w:szCs w:val="22"/>
          <w:lang w:eastAsia="zh-CN"/>
        </w:rPr>
      </w:pPr>
      <w:r>
        <w:t>2022年，我</w:t>
      </w:r>
      <w:r>
        <w:rPr>
          <w:rFonts w:hint="eastAsia"/>
          <w:lang w:eastAsia="zh-CN"/>
        </w:rPr>
        <w:t>单位</w:t>
      </w:r>
      <w:r>
        <w:t>财政拨款“三公”经费预算安排28.6万元，其中：因公出国（境）费0万元；公务用车购置及运维费26.6万元（其中：公务用车购置费5万元，公务用车运行维护费21.6万元)；公务接待费2万元。“三公”经费比上年增加5.7万元，主要是增加了公务用车购置费和运行维护费。</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640" w:firstLineChars="200"/>
        <w:jc w:val="left"/>
        <w:textAlignment w:val="auto"/>
        <w:outlineLvl w:val="2"/>
        <w:rPr>
          <w:rFonts w:hint="eastAsia" w:ascii="黑体" w:hAnsi="黑体" w:eastAsia="黑体"/>
          <w:kern w:val="2"/>
          <w:sz w:val="32"/>
          <w:szCs w:val="22"/>
          <w:lang w:eastAsia="zh-CN"/>
        </w:rPr>
      </w:pPr>
      <w:r>
        <w:rPr>
          <w:rFonts w:hint="eastAsia" w:ascii="黑体" w:hAnsi="黑体" w:eastAsia="黑体"/>
          <w:kern w:val="2"/>
          <w:sz w:val="32"/>
          <w:szCs w:val="22"/>
          <w:lang w:eastAsia="zh-CN"/>
        </w:rPr>
        <w:t>五、预算绩效信息</w:t>
      </w:r>
    </w:p>
    <w:p>
      <w:pPr>
        <w:keepNext w:val="0"/>
        <w:keepLines w:val="0"/>
        <w:pageBreakBefore w:val="0"/>
        <w:widowControl/>
        <w:kinsoku/>
        <w:wordWrap/>
        <w:overflowPunct/>
        <w:topLinePunct w:val="0"/>
        <w:autoSpaceDE/>
        <w:autoSpaceDN/>
        <w:bidi w:val="0"/>
        <w:adjustRightInd/>
        <w:snapToGrid/>
        <w:spacing w:before="0" w:beforeLines="50" w:after="0" w:afterLines="50"/>
        <w:ind w:firstLine="641"/>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2022年是党的二十大召开之年，是贯彻落实</w:t>
      </w:r>
      <w:r>
        <w:rPr>
          <w:rFonts w:hint="eastAsia"/>
          <w:lang w:eastAsia="zh-CN"/>
        </w:rPr>
        <w:t>区</w:t>
      </w:r>
      <w:r>
        <w:t>、市党代会精神和区党代会部署的关键之年，更是我区争创“六个国家级示范区”、打造千亿级电子信息产业集群，在全市经济总量过万亿新征程中走在前、做表率的突破之年，做好纪检监察工作责任重大，使命光荣。2022年工作的总体要求是，坚持以习近平新时代中国特色社会主义思想为指导，全面贯彻党的十九大和十九届历次全会精神，认真贯彻</w:t>
      </w:r>
      <w:r>
        <w:rPr>
          <w:rFonts w:hint="eastAsia"/>
          <w:lang w:eastAsia="zh-CN"/>
        </w:rPr>
        <w:t>区</w:t>
      </w:r>
      <w:r>
        <w:t>、市党代会精神和区党代会部署，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经济强区、魅力鹿泉、生态宜居宜业宜游新城区提供坚强政治保障。</w:t>
      </w:r>
    </w:p>
    <w:p>
      <w:pPr>
        <w:spacing w:line="500" w:lineRule="exact"/>
        <w:ind w:firstLine="560"/>
      </w:pPr>
      <w:r>
        <w:rPr>
          <w:rFonts w:eastAsia="方正仿宋_GBK"/>
          <w:color w:val="000000"/>
          <w:sz w:val="28"/>
        </w:rPr>
        <w:t>（二）分项绩效目标</w:t>
      </w:r>
    </w:p>
    <w:p>
      <w:pPr>
        <w:pStyle w:val="27"/>
      </w:pPr>
      <w:r>
        <w:t>1、</w:t>
      </w:r>
      <w:r>
        <w:rPr>
          <w:rFonts w:hint="eastAsia"/>
        </w:rPr>
        <w:t>坚定不移推进政治监督，督促做到“两个维护”</w:t>
      </w:r>
    </w:p>
    <w:p>
      <w:pPr>
        <w:pStyle w:val="27"/>
        <w:rPr>
          <w:rFonts w:hint="eastAsia" w:eastAsia="方正仿宋_GBK"/>
          <w:lang w:eastAsia="zh-CN"/>
        </w:rPr>
      </w:pPr>
      <w:r>
        <w:t>绩效目标：</w:t>
      </w:r>
      <w:r>
        <w:rPr>
          <w:rFonts w:hint="eastAsia"/>
        </w:rPr>
        <w:t>切实履行政治监督的根本职责，推动政治监督具体化、常态化。聚焦“两个确立”开展监督</w:t>
      </w:r>
      <w:r>
        <w:rPr>
          <w:rFonts w:hint="eastAsia"/>
          <w:lang w:eastAsia="zh-CN"/>
        </w:rPr>
        <w:t>，</w:t>
      </w:r>
      <w:r>
        <w:rPr>
          <w:rFonts w:hint="eastAsia"/>
        </w:rPr>
        <w:t>聚焦党中央重大决策部署和省、市、区委重点工作落实开展监督</w:t>
      </w:r>
      <w:r>
        <w:rPr>
          <w:rFonts w:hint="eastAsia"/>
          <w:lang w:eastAsia="zh-CN"/>
        </w:rPr>
        <w:t>，聚焦保障权力规范运行开展监督，督促各级党组织和党员干部始终以习近平新时代中国特色社会主义思想为指导，坚决拥护“两个确立”。</w:t>
      </w:r>
    </w:p>
    <w:p>
      <w:pPr>
        <w:pStyle w:val="27"/>
        <w:rPr>
          <w:rFonts w:hint="eastAsia" w:eastAsia="方正仿宋_GBK"/>
          <w:lang w:eastAsia="zh-CN"/>
        </w:rPr>
      </w:pPr>
      <w:r>
        <w:t>绩效指标：</w:t>
      </w:r>
      <w:r>
        <w:rPr>
          <w:rFonts w:hint="eastAsia"/>
        </w:rPr>
        <w:t>紧盯区委细化分解的42项重点任务，全程监督、精准监督、跟进监督</w:t>
      </w:r>
      <w:r>
        <w:rPr>
          <w:rFonts w:hint="eastAsia"/>
          <w:lang w:eastAsia="zh-CN"/>
        </w:rPr>
        <w:t>。监督检查、审查调查以及专项整治工作中，差旅费及人均差旅补助标准符合相关政策规定。</w:t>
      </w:r>
    </w:p>
    <w:p>
      <w:pPr>
        <w:pStyle w:val="27"/>
      </w:pPr>
      <w:r>
        <w:t>2、</w:t>
      </w:r>
      <w:r>
        <w:rPr>
          <w:rFonts w:hint="eastAsia"/>
        </w:rPr>
        <w:t>坚定不移深化反腐败斗争，一体推进不敢腐、不能腐、不想腐</w:t>
      </w:r>
    </w:p>
    <w:p>
      <w:pPr>
        <w:pStyle w:val="27"/>
        <w:rPr>
          <w:rFonts w:hint="eastAsia"/>
          <w:lang w:val="en-US" w:eastAsia="zh-CN"/>
        </w:rPr>
      </w:pPr>
      <w:r>
        <w:t>绩效目标：</w:t>
      </w:r>
      <w:r>
        <w:rPr>
          <w:rFonts w:hint="eastAsia"/>
        </w:rPr>
        <w:t>坚决落实习近平总书记关于反腐败斗争“四个任重道远”重大战略部署，坚定不移打好反腐败斗争攻坚战、持久战。突出查处腐败重点</w:t>
      </w:r>
      <w:r>
        <w:rPr>
          <w:rFonts w:hint="eastAsia"/>
          <w:lang w:eastAsia="zh-CN"/>
        </w:rPr>
        <w:t>。</w:t>
      </w:r>
      <w:r>
        <w:rPr>
          <w:rFonts w:hint="eastAsia"/>
          <w:lang w:val="en-US" w:eastAsia="zh-CN"/>
        </w:rPr>
        <w:t>把促改工作贯穿办案全过程，同步溯源收集情况，做深案件剖析，总结发案规律，推动问题整改。坚持以习近平法治思想为指导，严格按规定的时限、权限、程序和条件执纪执法。完善审理提前介入机制，强化对办案过程、事实认定、证据采信、处置意见的合法合规性审核。</w:t>
      </w:r>
    </w:p>
    <w:p>
      <w:pPr>
        <w:pStyle w:val="27"/>
        <w:rPr>
          <w:rFonts w:hint="default" w:eastAsia="方正仿宋_GBK"/>
          <w:lang w:val="en-US" w:eastAsia="zh-CN"/>
        </w:rPr>
      </w:pPr>
      <w:r>
        <w:t>绩效指标：</w:t>
      </w:r>
      <w:r>
        <w:rPr>
          <w:rFonts w:hint="eastAsia"/>
        </w:rPr>
        <w:t>通过观看警示片、通报典型案例等方式，警醒党员干部增强拒腐防变意识</w:t>
      </w:r>
      <w:r>
        <w:rPr>
          <w:rFonts w:hint="eastAsia"/>
          <w:lang w:eastAsia="zh-CN"/>
        </w:rPr>
        <w:t>。全年案件办结率不低于</w:t>
      </w:r>
      <w:r>
        <w:rPr>
          <w:rFonts w:hint="eastAsia"/>
          <w:lang w:val="en-US" w:eastAsia="zh-CN"/>
        </w:rPr>
        <w:t>85%，案件办结时限不超过3个月，群众满意度不低于90%。</w:t>
      </w:r>
    </w:p>
    <w:p>
      <w:pPr>
        <w:pStyle w:val="27"/>
        <w:rPr>
          <w:rFonts w:hint="eastAsia"/>
        </w:rPr>
      </w:pPr>
      <w:r>
        <w:t>3、</w:t>
      </w:r>
      <w:r>
        <w:rPr>
          <w:rFonts w:hint="eastAsia"/>
        </w:rPr>
        <w:t>深化整治“四风”顽疾，持续加固中央八项规定精神堤坝</w:t>
      </w:r>
    </w:p>
    <w:p>
      <w:pPr>
        <w:pStyle w:val="27"/>
      </w:pPr>
      <w:r>
        <w:t>绩效目标：</w:t>
      </w:r>
      <w:r>
        <w:rPr>
          <w:rFonts w:hint="eastAsia"/>
          <w:lang w:val="en-US" w:eastAsia="zh-CN"/>
        </w:rPr>
        <w:t>以开展深化纠正“四风”和作风纪律专项整治活动为重要抓手，扎实开展正风肃纪专项行动，突出常与长、严与实、深与细，坚决铲除滋生腐败的温床。大力整治形式主义、官僚主义，严肃查处享乐奢靡，坚决整治铺张浪费，坚持治树并举，弘扬新风正气。</w:t>
      </w:r>
    </w:p>
    <w:p>
      <w:pPr>
        <w:pStyle w:val="27"/>
        <w:rPr>
          <w:rFonts w:hint="default" w:eastAsia="方正仿宋_GBK"/>
          <w:lang w:val="en-US" w:eastAsia="zh-CN"/>
        </w:rPr>
      </w:pPr>
      <w:r>
        <w:t>绩效指标：</w:t>
      </w:r>
      <w:r>
        <w:rPr>
          <w:rFonts w:hint="eastAsia"/>
          <w:lang w:eastAsia="zh-CN"/>
        </w:rPr>
        <w:t>全年案件办结率不低于</w:t>
      </w:r>
      <w:r>
        <w:rPr>
          <w:rFonts w:hint="eastAsia"/>
          <w:lang w:val="en-US" w:eastAsia="zh-CN"/>
        </w:rPr>
        <w:t>85%，案件办结时限不超过3个月，群众满意度不低于90%，</w:t>
      </w:r>
      <w:r>
        <w:rPr>
          <w:rFonts w:hint="eastAsia"/>
          <w:lang w:eastAsia="zh-CN"/>
        </w:rPr>
        <w:t>案件持续发挥作用时间不低于</w:t>
      </w:r>
      <w:r>
        <w:rPr>
          <w:rFonts w:hint="eastAsia"/>
          <w:lang w:val="en-US" w:eastAsia="zh-CN"/>
        </w:rPr>
        <w:t>1年。</w:t>
      </w:r>
    </w:p>
    <w:p>
      <w:pPr>
        <w:pStyle w:val="27"/>
      </w:pPr>
      <w:r>
        <w:t>4、</w:t>
      </w:r>
      <w:r>
        <w:rPr>
          <w:rFonts w:hint="eastAsia"/>
        </w:rPr>
        <w:t>大力整治群众身边腐败和不正之风，维护人民群众切身利益</w:t>
      </w:r>
    </w:p>
    <w:p>
      <w:pPr>
        <w:pStyle w:val="27"/>
        <w:rPr>
          <w:rFonts w:hint="eastAsia"/>
          <w:lang w:val="en-US" w:eastAsia="zh-CN"/>
        </w:rPr>
      </w:pPr>
      <w:r>
        <w:t>绩效目标：</w:t>
      </w:r>
      <w:r>
        <w:rPr>
          <w:rFonts w:hint="eastAsia"/>
        </w:rPr>
        <w:t>大力开展民生领域腐败和作风问题集中整治</w:t>
      </w:r>
      <w:r>
        <w:rPr>
          <w:rFonts w:hint="eastAsia"/>
          <w:lang w:eastAsia="zh-CN"/>
        </w:rPr>
        <w:t>，加强对各项惠民利民、安民富民政策落实情况的监督。</w:t>
      </w:r>
      <w:r>
        <w:rPr>
          <w:rFonts w:hint="eastAsia"/>
          <w:lang w:val="en-US" w:eastAsia="zh-CN"/>
        </w:rPr>
        <w:t>加大乡村振兴监督检查力度，围绕过渡期加强监督，重点监督检查防止返贫动态监测和帮扶机制落实不到位等问题。大力提升监督质效。</w:t>
      </w:r>
    </w:p>
    <w:p>
      <w:pPr>
        <w:pStyle w:val="27"/>
        <w:rPr>
          <w:rFonts w:hint="eastAsia"/>
          <w:lang w:eastAsia="zh-CN"/>
        </w:rPr>
      </w:pPr>
      <w:r>
        <w:t>绩效指标：</w:t>
      </w:r>
      <w:r>
        <w:rPr>
          <w:rFonts w:hint="eastAsia"/>
          <w:lang w:eastAsia="zh-CN"/>
        </w:rPr>
        <w:t>“</w:t>
      </w:r>
      <w:r>
        <w:rPr>
          <w:rFonts w:hint="eastAsia"/>
        </w:rPr>
        <w:t>十一”前全域达到省级美丽乡村标准</w:t>
      </w:r>
      <w:r>
        <w:rPr>
          <w:rFonts w:hint="eastAsia"/>
          <w:lang w:eastAsia="zh-CN"/>
        </w:rPr>
        <w:t>，推动乡村两级监督加快从有形覆盖转为有效覆盖。</w:t>
      </w:r>
    </w:p>
    <w:p>
      <w:pPr>
        <w:pStyle w:val="27"/>
        <w:rPr>
          <w:rFonts w:hint="eastAsia"/>
          <w:lang w:val="en-US" w:eastAsia="zh-CN"/>
        </w:rPr>
      </w:pPr>
      <w:r>
        <w:rPr>
          <w:rFonts w:hint="eastAsia"/>
          <w:lang w:val="en-US" w:eastAsia="zh-CN"/>
        </w:rPr>
        <w:t xml:space="preserve">5、进一步深化纪检监察体制改革，加快制度优势转化为治理效能 </w:t>
      </w:r>
    </w:p>
    <w:p>
      <w:pPr>
        <w:pStyle w:val="27"/>
        <w:rPr>
          <w:rFonts w:hint="default"/>
          <w:lang w:val="en-US" w:eastAsia="zh-CN"/>
        </w:rPr>
      </w:pPr>
      <w:r>
        <w:rPr>
          <w:rFonts w:hint="default"/>
          <w:lang w:val="en-US" w:eastAsia="zh-CN"/>
        </w:rPr>
        <w:t>绩效目标：坚持抓深抓实纪检监察体制改革，将制度优势转化为治理效能，推动高质量发展。统筹推进各类监督形成合力</w:t>
      </w:r>
      <w:r>
        <w:rPr>
          <w:rFonts w:hint="eastAsia"/>
          <w:lang w:val="en-US" w:eastAsia="zh-CN"/>
        </w:rPr>
        <w:t>，持续深化政治巡察，进一步加强对乡镇纪委、派驻机构的领导。</w:t>
      </w:r>
    </w:p>
    <w:p>
      <w:pPr>
        <w:pStyle w:val="27"/>
        <w:rPr>
          <w:rFonts w:hint="default" w:eastAsia="方正仿宋_GBK"/>
          <w:lang w:val="en-US" w:eastAsia="zh-CN"/>
        </w:rPr>
      </w:pPr>
      <w:r>
        <w:rPr>
          <w:rFonts w:hint="default"/>
          <w:lang w:val="en-US" w:eastAsia="zh-CN"/>
        </w:rPr>
        <w:t>绩效指标：健全“室组”联动监督、“室组地”联合办案机制。</w:t>
      </w:r>
      <w:r>
        <w:rPr>
          <w:rFonts w:hint="eastAsia"/>
          <w:lang w:eastAsia="zh-CN"/>
        </w:rPr>
        <w:t>全年案件办结率不低于</w:t>
      </w:r>
      <w:r>
        <w:rPr>
          <w:rFonts w:hint="eastAsia"/>
          <w:lang w:val="en-US" w:eastAsia="zh-CN"/>
        </w:rPr>
        <w:t>85%，案件办结时限不超过3个月，群众满意度不低于90%，</w:t>
      </w:r>
      <w:r>
        <w:rPr>
          <w:rFonts w:hint="eastAsia"/>
          <w:lang w:eastAsia="zh-CN"/>
        </w:rPr>
        <w:t>案件持续发挥作用时间不低于</w:t>
      </w:r>
      <w:r>
        <w:rPr>
          <w:rFonts w:hint="eastAsia"/>
          <w:lang w:val="en-US" w:eastAsia="zh-CN"/>
        </w:rPr>
        <w:t>1年。</w:t>
      </w:r>
    </w:p>
    <w:p>
      <w:pPr>
        <w:pStyle w:val="27"/>
        <w:rPr>
          <w:rFonts w:hint="eastAsia"/>
          <w:lang w:val="en-US" w:eastAsia="zh-CN"/>
        </w:rPr>
      </w:pPr>
      <w:r>
        <w:rPr>
          <w:rFonts w:hint="eastAsia"/>
          <w:lang w:val="en-US" w:eastAsia="zh-CN"/>
        </w:rPr>
        <w:t>6、从严从实加强自身建设，努力做党和人民的忠诚卫士</w:t>
      </w:r>
    </w:p>
    <w:p>
      <w:pPr>
        <w:pStyle w:val="27"/>
        <w:rPr>
          <w:rFonts w:hint="default"/>
          <w:lang w:val="en-US" w:eastAsia="zh-CN"/>
        </w:rPr>
      </w:pPr>
      <w:r>
        <w:rPr>
          <w:rFonts w:hint="default"/>
          <w:lang w:val="en-US" w:eastAsia="zh-CN"/>
        </w:rPr>
        <w:t>绩效目标：持续优化内部治理，不断推进纪检监察系统规范化、法治化、正规化建设，优化内控机制</w:t>
      </w:r>
      <w:r>
        <w:rPr>
          <w:rFonts w:hint="eastAsia"/>
          <w:lang w:val="en-US" w:eastAsia="zh-CN"/>
        </w:rPr>
        <w:t>，</w:t>
      </w:r>
      <w:r>
        <w:rPr>
          <w:rFonts w:hint="default"/>
          <w:lang w:val="en-US" w:eastAsia="zh-CN"/>
        </w:rPr>
        <w:t>加强自身建设</w:t>
      </w:r>
      <w:r>
        <w:rPr>
          <w:rFonts w:hint="eastAsia"/>
          <w:lang w:val="en-US" w:eastAsia="zh-CN"/>
        </w:rPr>
        <w:t>，</w:t>
      </w:r>
      <w:r>
        <w:rPr>
          <w:rFonts w:hint="default"/>
          <w:lang w:val="en-US" w:eastAsia="zh-CN"/>
        </w:rPr>
        <w:t>强化干部队伍监管</w:t>
      </w:r>
      <w:r>
        <w:rPr>
          <w:rFonts w:hint="eastAsia"/>
          <w:lang w:val="en-US" w:eastAsia="zh-CN"/>
        </w:rPr>
        <w:t>，</w:t>
      </w:r>
      <w:r>
        <w:rPr>
          <w:rFonts w:hint="default"/>
          <w:lang w:val="en-US" w:eastAsia="zh-CN"/>
        </w:rPr>
        <w:t>着力打造忠诚干净担当的纪检监察铁军。</w:t>
      </w:r>
    </w:p>
    <w:p>
      <w:pPr>
        <w:pStyle w:val="27"/>
        <w:rPr>
          <w:rFonts w:hint="eastAsia"/>
          <w:lang w:eastAsia="zh-CN"/>
        </w:rPr>
      </w:pPr>
      <w:r>
        <w:rPr>
          <w:rFonts w:hint="default"/>
          <w:lang w:val="en-US" w:eastAsia="zh-CN"/>
        </w:rPr>
        <w:t>绩效指标：科学全面制定培训工作方案，</w:t>
      </w:r>
      <w:r>
        <w:rPr>
          <w:rFonts w:hint="eastAsia"/>
          <w:lang w:eastAsia="zh-CN"/>
        </w:rPr>
        <w:t>实现对执纪执法过程监管全覆盖。</w:t>
      </w:r>
    </w:p>
    <w:p>
      <w:pPr>
        <w:pStyle w:val="27"/>
      </w:pPr>
      <w:r>
        <w:rPr>
          <w:rFonts w:hint="eastAsia"/>
          <w:lang w:val="en-US" w:eastAsia="zh-CN"/>
        </w:rPr>
        <w:t>7、</w:t>
      </w:r>
      <w:r>
        <w:t>充分发挥巡视党内监督利剑和密切联系群众纽带作用</w:t>
      </w:r>
    </w:p>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绩效目标：监督检查党内法规政策、国家法律法规、党风廉政建设等的执行情况；贯彻落实区委有关部署，开展常态化全覆盖监督巡察。</w:t>
      </w:r>
    </w:p>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绩效指标：加大问责力度；巡查监督常态化、全覆盖。把所有党政机关和直属企事业单位全部纳入巡察监督范围，实现巡察无死角、监督无例外。统筹安排常规巡察，深化专项巡察，强化机动巡察，推动“回头看”常态化，把问题导向贯穿巡察全过程。强化巡察成果综合运用，强化整改问责，确保条条要整改、件件有着落，坚决纠正工作走过场、搞形式问题。</w:t>
      </w:r>
    </w:p>
    <w:p>
      <w:pPr>
        <w:spacing w:line="500" w:lineRule="exact"/>
        <w:ind w:firstLine="560"/>
      </w:pPr>
      <w:r>
        <w:rPr>
          <w:rFonts w:eastAsia="方正仿宋_GBK"/>
          <w:color w:val="000000"/>
          <w:sz w:val="28"/>
        </w:rPr>
        <w:t>（三）工作保障措施</w:t>
      </w:r>
    </w:p>
    <w:p>
      <w:pPr>
        <w:pStyle w:val="28"/>
      </w:pPr>
      <w:r>
        <w:t>1、严明政治纪律和政治规矩</w:t>
      </w:r>
    </w:p>
    <w:p>
      <w:pPr>
        <w:pStyle w:val="28"/>
      </w:pPr>
      <w:r>
        <w:t>开展落实“两个维护”情况专项监督；开展严肃党内政治生活情况专项监督；坚决破除“形式主义、官僚主义”。</w:t>
      </w:r>
    </w:p>
    <w:p>
      <w:pPr>
        <w:pStyle w:val="28"/>
      </w:pPr>
      <w:r>
        <w:t>2、加强纪检监察工作体制机制建设</w:t>
      </w:r>
    </w:p>
    <w:p>
      <w:pPr>
        <w:pStyle w:val="28"/>
      </w:pPr>
      <w:r>
        <w:t>（1）强化上级纪委对下级纪委的领导和指导。认真履行协助党委全面从严治党职责，强化对下级党组织的监督，使主体责任、监督责任贯通协同、形成合力。</w:t>
      </w:r>
    </w:p>
    <w:p>
      <w:pPr>
        <w:pStyle w:val="28"/>
      </w:pPr>
      <w:r>
        <w:t>（2）持续深化国家监察体制改革。把增强对公权力和公职人员的监督全覆盖、有效性作为着力点，健全统一决策、一体运行的执纪执法工作机制。</w:t>
      </w:r>
    </w:p>
    <w:p>
      <w:pPr>
        <w:pStyle w:val="28"/>
      </w:pPr>
      <w:r>
        <w:t>（3）加强基层纪检组织建设。核定乡镇纪委机构、编制和职数，配齐配强专职纪检干部。强化对乡镇纪委开展日常监督、执纪审查等工作的指导。区纪委监委向开发区同步派出纪工委、监察组，履行党的纪律检查和国家监察两项职能。</w:t>
      </w:r>
    </w:p>
    <w:p>
      <w:pPr>
        <w:pStyle w:val="28"/>
      </w:pPr>
      <w:r>
        <w:t>3、加强监督监察工作，在实效上实现新突破。</w:t>
      </w:r>
    </w:p>
    <w:p>
      <w:pPr>
        <w:pStyle w:val="28"/>
      </w:pPr>
      <w:r>
        <w:t>注重抓住监督重点，注重日常精准监督，坚持问题导向解决党风问题，深入推进作风建设，注重强化制度执行，注重形成监督合力，严格落实容错纠错机制，在全区营造风清气正、勇于改革创新、敢于担当负责的良好环境。</w:t>
      </w:r>
    </w:p>
    <w:p>
      <w:pPr>
        <w:pStyle w:val="28"/>
      </w:pPr>
      <w:r>
        <w:t>4、在政治巡察上实现新突破。</w:t>
      </w:r>
    </w:p>
    <w:p>
      <w:pPr>
        <w:pStyle w:val="28"/>
      </w:pPr>
      <w:r>
        <w:t>突出抓好“六化”建设，一是巡察工作规范化；二是方式方法科学化；三是问题整改求实化；四是解决问题可视化；五是巡察成果应用化；六是队伍建设专业化。</w:t>
      </w:r>
    </w:p>
    <w:p>
      <w:pPr>
        <w:pStyle w:val="28"/>
      </w:pPr>
      <w:r>
        <w:t>5、持续整治群众身边腐败和作风问题。</w:t>
      </w:r>
    </w:p>
    <w:p>
      <w:pPr>
        <w:pStyle w:val="28"/>
      </w:pPr>
      <w:r>
        <w:t>（1）持续深化扶贫领域腐败和作风问题专项治理，严肃查处扶贫领域贪污侵占、虚报冒领、截留挪用、优亲厚友等突出问题，严肃查处职能</w:t>
      </w:r>
      <w:r>
        <w:rPr>
          <w:rFonts w:hint="eastAsia"/>
          <w:lang w:eastAsia="zh-CN"/>
        </w:rPr>
        <w:t>单位</w:t>
      </w:r>
      <w:r>
        <w:t>在扶贫工作中履责不力、监管不严、推诿扯皮等问题。</w:t>
      </w:r>
    </w:p>
    <w:p>
      <w:pPr>
        <w:pStyle w:val="28"/>
      </w:pPr>
      <w:r>
        <w:t>（2）扎实开展民生领域专项整治，加强对民生工程推进情况的监督，切实解决教育医疗、环境保护、食品药品安全等方面侵害群众利益问题，进一步深化“大棚房”问题专项清理整治和人防系统腐败问题专项治理。</w:t>
      </w:r>
    </w:p>
    <w:p>
      <w:pPr>
        <w:pStyle w:val="28"/>
      </w:pPr>
      <w:r>
        <w:t>（3）深挖涉黑涉恶腐败和黑恶势力“保护伞”，立足职责定位，深化“一案三查”，把打击“保护伞”作为主攻方向，严肃查处党员干部和公职人员助长黑恶势力做大成势、干预和阻挠案件调查处理等问题，严肃查处“村霸”、宗族恶势力和黄赌毒背后的腐败行为。</w:t>
      </w:r>
    </w:p>
    <w:p>
      <w:pPr>
        <w:pStyle w:val="28"/>
      </w:pPr>
      <w:r>
        <w:rPr>
          <w:rFonts w:hint="eastAsia"/>
          <w:lang w:eastAsia="zh-CN"/>
        </w:rPr>
        <w:t>（</w:t>
      </w:r>
      <w:r>
        <w:rPr>
          <w:rFonts w:hint="eastAsia"/>
          <w:lang w:val="en-US" w:eastAsia="zh-CN"/>
        </w:rPr>
        <w:t>4</w:t>
      </w:r>
      <w:r>
        <w:rPr>
          <w:rFonts w:hint="eastAsia"/>
          <w:lang w:eastAsia="zh-CN"/>
        </w:rPr>
        <w:t>）</w:t>
      </w:r>
      <w:r>
        <w:t>把整治群众反映强烈的腐败和作风问题放在突出位置，严肃查处对群众反映强烈的问题不担当、消极应付，对群众合理诉求不作为、推诿扯皮等问题，让群众切实感受到正风反腐就在身边。</w:t>
      </w:r>
    </w:p>
    <w:p>
      <w:pPr>
        <w:pStyle w:val="28"/>
      </w:pPr>
      <w:r>
        <w:t>6、加强并完善各项制度建设</w:t>
      </w:r>
    </w:p>
    <w:p>
      <w:pPr>
        <w:pStyle w:val="28"/>
      </w:pPr>
      <w:r>
        <w:t>（1）加强完善学习制度，并在落实上下功夫。严格落实理论学习中心组、常委扩大会学习等制度，带头学习贯彻习近平新时代中国特色社会主义思想，坚持在学懂弄通做实上下功夫。弘扬革命理想高于天的精神，秉持献身党和人民事业的崇高情怀，增强担当精神和斗争精神，在大是大非面前敢于亮剑、敢于斗争。注重在一线培养锻炼、发现识别优秀干部，体现讲担当、重担当的鲜明用人导向。</w:t>
      </w:r>
    </w:p>
    <w:p>
      <w:pPr>
        <w:pStyle w:val="28"/>
      </w:pPr>
      <w:r>
        <w:t>（2）制定完善预算绩效管理制度，制定绩效目标，责任落实到人，督促各项绩效指标完成，为全年预算绩效目标的实现奠定制度基础。</w:t>
      </w:r>
    </w:p>
    <w:p>
      <w:pPr>
        <w:pStyle w:val="28"/>
      </w:pPr>
      <w:r>
        <w:t>7、加强资金支出管理。</w:t>
      </w:r>
    </w:p>
    <w:p>
      <w:pPr>
        <w:pStyle w:val="28"/>
      </w:pPr>
      <w:r>
        <w:t>通过优化支出结构、编细编实预算、尽快启动项目、及时支付资金、按规定及时下达资金等多种措施，加快支出进度。确保支出进度达标。</w:t>
      </w:r>
    </w:p>
    <w:p>
      <w:pPr>
        <w:pStyle w:val="28"/>
      </w:pPr>
      <w:r>
        <w:t>8、加强绩效运行监控。</w:t>
      </w:r>
    </w:p>
    <w:p>
      <w:pPr>
        <w:pStyle w:val="28"/>
      </w:pPr>
      <w:r>
        <w:t>按要求开展绩效运行监控，发现问题及时采取措施，确保绩效目标如期保质实现。</w:t>
      </w:r>
    </w:p>
    <w:p>
      <w:pPr>
        <w:pStyle w:val="28"/>
      </w:pPr>
      <w:r>
        <w:t>9、做好绩效自评。</w:t>
      </w:r>
    </w:p>
    <w:p>
      <w:pPr>
        <w:pStyle w:val="28"/>
      </w:pPr>
      <w:r>
        <w:t>按要求开展上年度</w:t>
      </w:r>
      <w:r>
        <w:rPr>
          <w:rFonts w:hint="eastAsia"/>
          <w:lang w:eastAsia="zh-CN"/>
        </w:rPr>
        <w:t>单位</w:t>
      </w:r>
      <w:r>
        <w:t>预算绩效自评和重点评价工作，对评价中发现的问题及时整改，调整优化支出结构，提高财政资金使用效益。</w:t>
      </w:r>
    </w:p>
    <w:p>
      <w:pPr>
        <w:pStyle w:val="28"/>
      </w:pPr>
      <w:r>
        <w:t>10、规范财务资产管理。</w:t>
      </w:r>
    </w:p>
    <w:p>
      <w:pPr>
        <w:pStyle w:val="28"/>
      </w:pPr>
      <w:r>
        <w:t>完善财务管理制度，严格审批程序，加强固定资产登记、使用和报废处置管理，做到支出合理，物尽其用。</w:t>
      </w:r>
    </w:p>
    <w:p>
      <w:pPr>
        <w:pStyle w:val="28"/>
      </w:pPr>
      <w:r>
        <w:t>11、加强内部监督。</w:t>
      </w:r>
    </w:p>
    <w:p>
      <w:pPr>
        <w:pStyle w:val="28"/>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t>12、加强宣传培训调研等。</w:t>
      </w:r>
    </w:p>
    <w:p>
      <w:pPr>
        <w:pStyle w:val="28"/>
      </w:pPr>
      <w:r>
        <w:t>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beforeLines="50" w:after="0" w:afterLines="50"/>
        <w:ind w:firstLine="643" w:firstLineChars="200"/>
        <w:jc w:val="left"/>
        <w:textAlignment w:val="auto"/>
        <w:rPr>
          <w:rFonts w:hint="eastAsia" w:ascii="方正楷体_GBK" w:eastAsia="方正楷体_GBK"/>
          <w:b/>
          <w:sz w:val="32"/>
        </w:rPr>
      </w:pPr>
      <w:r>
        <w:rPr>
          <w:rFonts w:hint="eastAsia" w:ascii="方正楷体_GBK" w:eastAsia="方正楷体_GBK"/>
          <w:b/>
          <w:kern w:val="2"/>
          <w:sz w:val="32"/>
          <w:lang w:eastAsia="zh-CN"/>
        </w:rPr>
        <w:t>第二部分  专项资金绩效目标</w:t>
      </w:r>
    </w:p>
    <w:p>
      <w:pPr>
        <w:keepNext w:val="0"/>
        <w:keepLines w:val="0"/>
        <w:pageBreakBefore w:val="0"/>
        <w:widowControl/>
        <w:kinsoku/>
        <w:wordWrap/>
        <w:overflowPunct/>
        <w:topLinePunct w:val="0"/>
        <w:autoSpaceDE/>
        <w:autoSpaceDN/>
        <w:bidi w:val="0"/>
        <w:adjustRightInd/>
        <w:snapToGrid/>
        <w:spacing w:before="0" w:beforeLines="50" w:after="0" w:afterLines="50"/>
        <w:ind w:firstLine="643" w:firstLineChars="200"/>
        <w:jc w:val="left"/>
        <w:textAlignment w:val="auto"/>
        <w:rPr>
          <w:rFonts w:hint="eastAsia" w:ascii="方正楷体_GBK" w:eastAsia="方正楷体_GBK"/>
          <w:b/>
          <w:sz w:val="32"/>
        </w:rPr>
      </w:pPr>
      <w:r>
        <w:rPr>
          <w:rFonts w:hint="eastAsia" w:ascii="方正楷体_GBK" w:eastAsia="方正楷体_GBK"/>
          <w:b/>
          <w:sz w:val="32"/>
        </w:rPr>
        <w:t>第三部分  预算项目绩效目标</w:t>
      </w:r>
    </w:p>
    <w:p>
      <w:pPr>
        <w:ind w:firstLine="562" w:firstLineChars="200"/>
      </w:pPr>
      <w:r>
        <w:rPr>
          <w:rFonts w:ascii="方正仿宋_GBK" w:hAnsi="方正仿宋_GBK" w:eastAsia="方正仿宋_GBK" w:cs="方正仿宋_GBK"/>
          <w:b/>
          <w:color w:val="000000"/>
          <w:sz w:val="28"/>
        </w:rPr>
        <w:t>1、公务用车购置费绩效目标表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保障购置1辆公务用车的经费。满足工作需要，提高工作效率，机关工作人员的满意度达80%以上</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车辆购置数量</w:t>
            </w:r>
          </w:p>
        </w:tc>
        <w:tc>
          <w:tcPr>
            <w:tcW w:w="2835" w:type="dxa"/>
            <w:vAlign w:val="center"/>
          </w:tcPr>
          <w:p>
            <w:pPr>
              <w:pStyle w:val="17"/>
            </w:pPr>
            <w:r>
              <w:t>车辆购置数量</w:t>
            </w:r>
          </w:p>
        </w:tc>
        <w:tc>
          <w:tcPr>
            <w:tcW w:w="2551" w:type="dxa"/>
            <w:vAlign w:val="center"/>
          </w:tcPr>
          <w:p>
            <w:pPr>
              <w:pStyle w:val="17"/>
            </w:pPr>
            <w:r>
              <w:t>11辆</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购置质量合格率（%）</w:t>
            </w:r>
          </w:p>
        </w:tc>
        <w:tc>
          <w:tcPr>
            <w:tcW w:w="2835" w:type="dxa"/>
            <w:vAlign w:val="center"/>
          </w:tcPr>
          <w:p>
            <w:pPr>
              <w:pStyle w:val="17"/>
            </w:pPr>
            <w:r>
              <w:t>购置质量合格率（%）</w:t>
            </w:r>
          </w:p>
        </w:tc>
        <w:tc>
          <w:tcPr>
            <w:tcW w:w="2551" w:type="dxa"/>
            <w:vAlign w:val="center"/>
          </w:tcPr>
          <w:p>
            <w:pPr>
              <w:pStyle w:val="17"/>
            </w:pPr>
            <w:r>
              <w:t>100%</w:t>
            </w:r>
          </w:p>
        </w:tc>
        <w:tc>
          <w:tcPr>
            <w:tcW w:w="2268" w:type="dxa"/>
            <w:vAlign w:val="center"/>
          </w:tcPr>
          <w:p>
            <w:pPr>
              <w:pStyle w:val="1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购置时间</w:t>
            </w:r>
          </w:p>
        </w:tc>
        <w:tc>
          <w:tcPr>
            <w:tcW w:w="2835" w:type="dxa"/>
            <w:vAlign w:val="center"/>
          </w:tcPr>
          <w:p>
            <w:pPr>
              <w:pStyle w:val="17"/>
            </w:pPr>
            <w:r>
              <w:t>购置时间</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单位购置成本（元/台、件、辆、</w:t>
            </w:r>
          </w:p>
        </w:tc>
        <w:tc>
          <w:tcPr>
            <w:tcW w:w="2835" w:type="dxa"/>
            <w:vAlign w:val="center"/>
          </w:tcPr>
          <w:p>
            <w:pPr>
              <w:pStyle w:val="17"/>
            </w:pPr>
            <w:r>
              <w:t>单位购置成本（元/台、件、辆、套）</w:t>
            </w:r>
          </w:p>
        </w:tc>
        <w:tc>
          <w:tcPr>
            <w:tcW w:w="2551" w:type="dxa"/>
            <w:vAlign w:val="center"/>
          </w:tcPr>
          <w:p>
            <w:pPr>
              <w:pStyle w:val="17"/>
            </w:pPr>
            <w:r>
              <w:t>≤12万元</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车辆使用年限</w:t>
            </w:r>
          </w:p>
        </w:tc>
        <w:tc>
          <w:tcPr>
            <w:tcW w:w="2835" w:type="dxa"/>
            <w:vAlign w:val="center"/>
          </w:tcPr>
          <w:p>
            <w:pPr>
              <w:pStyle w:val="17"/>
            </w:pPr>
            <w:r>
              <w:t>车辆使用年限</w:t>
            </w:r>
          </w:p>
        </w:tc>
        <w:tc>
          <w:tcPr>
            <w:tcW w:w="2551" w:type="dxa"/>
            <w:vAlign w:val="center"/>
          </w:tcPr>
          <w:p>
            <w:pPr>
              <w:pStyle w:val="17"/>
            </w:pPr>
            <w:r>
              <w:t>≥15年</w:t>
            </w:r>
          </w:p>
        </w:tc>
        <w:tc>
          <w:tcPr>
            <w:tcW w:w="2268" w:type="dxa"/>
            <w:vAlign w:val="center"/>
          </w:tcPr>
          <w:p>
            <w:pPr>
              <w:pStyle w:val="1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服务对象满意比例</w:t>
            </w:r>
          </w:p>
        </w:tc>
        <w:tc>
          <w:tcPr>
            <w:tcW w:w="2835" w:type="dxa"/>
            <w:vAlign w:val="center"/>
          </w:tcPr>
          <w:p>
            <w:pPr>
              <w:pStyle w:val="17"/>
            </w:pPr>
            <w:r>
              <w:t>服务对象满意比例</w:t>
            </w:r>
          </w:p>
        </w:tc>
        <w:tc>
          <w:tcPr>
            <w:tcW w:w="2551" w:type="dxa"/>
            <w:vAlign w:val="center"/>
          </w:tcPr>
          <w:p>
            <w:pPr>
              <w:pStyle w:val="17"/>
            </w:pPr>
            <w:r>
              <w:t>≥80%</w:t>
            </w:r>
          </w:p>
        </w:tc>
        <w:tc>
          <w:tcPr>
            <w:tcW w:w="2268" w:type="dxa"/>
            <w:vAlign w:val="center"/>
          </w:tcPr>
          <w:p>
            <w:pPr>
              <w:pStyle w:val="17"/>
            </w:pPr>
            <w:r>
              <w:t>历史经验</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2、纪检监察业务费绩效目标表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1.保障90人办案业务经费，维护党纪国法尊严，惩处腐败分子，有效遏制腐败现象。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经费保障人数</w:t>
            </w:r>
          </w:p>
        </w:tc>
        <w:tc>
          <w:tcPr>
            <w:tcW w:w="2835" w:type="dxa"/>
            <w:vAlign w:val="center"/>
          </w:tcPr>
          <w:p>
            <w:pPr>
              <w:pStyle w:val="17"/>
            </w:pPr>
            <w:r>
              <w:t>经费保障人数</w:t>
            </w:r>
          </w:p>
        </w:tc>
        <w:tc>
          <w:tcPr>
            <w:tcW w:w="2551" w:type="dxa"/>
            <w:vAlign w:val="center"/>
          </w:tcPr>
          <w:p>
            <w:pPr>
              <w:pStyle w:val="17"/>
            </w:pPr>
            <w:r>
              <w:t>90人</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案件办结率</w:t>
            </w:r>
          </w:p>
        </w:tc>
        <w:tc>
          <w:tcPr>
            <w:tcW w:w="2835" w:type="dxa"/>
            <w:vAlign w:val="center"/>
          </w:tcPr>
          <w:p>
            <w:pPr>
              <w:pStyle w:val="17"/>
            </w:pPr>
            <w:r>
              <w:t>案件办结率</w:t>
            </w:r>
          </w:p>
        </w:tc>
        <w:tc>
          <w:tcPr>
            <w:tcW w:w="2551" w:type="dxa"/>
            <w:vAlign w:val="center"/>
          </w:tcPr>
          <w:p>
            <w:pPr>
              <w:pStyle w:val="17"/>
            </w:pPr>
            <w:r>
              <w:t>≥85%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案件办理时限</w:t>
            </w:r>
          </w:p>
        </w:tc>
        <w:tc>
          <w:tcPr>
            <w:tcW w:w="2835" w:type="dxa"/>
            <w:vAlign w:val="center"/>
          </w:tcPr>
          <w:p>
            <w:pPr>
              <w:pStyle w:val="17"/>
            </w:pPr>
            <w:r>
              <w:t>案件办理时限</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按预算资金完成率</w:t>
            </w:r>
          </w:p>
        </w:tc>
        <w:tc>
          <w:tcPr>
            <w:tcW w:w="2835" w:type="dxa"/>
            <w:vAlign w:val="center"/>
          </w:tcPr>
          <w:p>
            <w:pPr>
              <w:pStyle w:val="17"/>
            </w:pPr>
            <w:r>
              <w:t>按预算资金完成率</w:t>
            </w:r>
          </w:p>
        </w:tc>
        <w:tc>
          <w:tcPr>
            <w:tcW w:w="2551" w:type="dxa"/>
            <w:vAlign w:val="center"/>
          </w:tcPr>
          <w:p>
            <w:pPr>
              <w:pStyle w:val="17"/>
            </w:pPr>
            <w:r>
              <w:t>≥95%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w:t>
            </w:r>
          </w:p>
        </w:tc>
        <w:tc>
          <w:tcPr>
            <w:tcW w:w="2835" w:type="dxa"/>
            <w:vAlign w:val="center"/>
          </w:tcPr>
          <w:p>
            <w:pPr>
              <w:pStyle w:val="17"/>
            </w:pPr>
            <w:r>
              <w:t>项目持续发挥作用</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历史经验</w:t>
            </w:r>
          </w:p>
        </w:tc>
      </w:tr>
    </w:tbl>
    <w:p>
      <w:pPr>
        <w:ind w:firstLine="562" w:firstLineChars="200"/>
      </w:pPr>
      <w:r>
        <w:rPr>
          <w:rFonts w:ascii="方正仿宋_GBK" w:hAnsi="方正仿宋_GBK" w:eastAsia="方正仿宋_GBK" w:cs="方正仿宋_GBK"/>
          <w:b/>
          <w:color w:val="000000"/>
          <w:sz w:val="28"/>
        </w:rPr>
        <w:t>3、乡镇纪检监察业务费绩效目标表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1.该经费用于保障45名乡镇纪检人员办案业务经费，可使监督执纪工作向纵深发展，全覆盖。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经费保障人数</w:t>
            </w:r>
          </w:p>
        </w:tc>
        <w:tc>
          <w:tcPr>
            <w:tcW w:w="2835" w:type="dxa"/>
            <w:vAlign w:val="center"/>
          </w:tcPr>
          <w:p>
            <w:pPr>
              <w:pStyle w:val="17"/>
            </w:pPr>
            <w:r>
              <w:t>经费保障人数</w:t>
            </w:r>
          </w:p>
        </w:tc>
        <w:tc>
          <w:tcPr>
            <w:tcW w:w="2551" w:type="dxa"/>
            <w:vAlign w:val="center"/>
          </w:tcPr>
          <w:p>
            <w:pPr>
              <w:pStyle w:val="17"/>
            </w:pPr>
            <w:r>
              <w:t>45人</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案件办结率</w:t>
            </w:r>
          </w:p>
        </w:tc>
        <w:tc>
          <w:tcPr>
            <w:tcW w:w="2835" w:type="dxa"/>
            <w:vAlign w:val="center"/>
          </w:tcPr>
          <w:p>
            <w:pPr>
              <w:pStyle w:val="17"/>
            </w:pPr>
            <w:r>
              <w:t>案件办结率</w:t>
            </w:r>
          </w:p>
        </w:tc>
        <w:tc>
          <w:tcPr>
            <w:tcW w:w="2551" w:type="dxa"/>
            <w:vAlign w:val="center"/>
          </w:tcPr>
          <w:p>
            <w:pPr>
              <w:pStyle w:val="17"/>
            </w:pPr>
            <w:r>
              <w:t>≥85%</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案件处理时间</w:t>
            </w:r>
          </w:p>
        </w:tc>
        <w:tc>
          <w:tcPr>
            <w:tcW w:w="2835" w:type="dxa"/>
            <w:vAlign w:val="center"/>
          </w:tcPr>
          <w:p>
            <w:pPr>
              <w:pStyle w:val="17"/>
            </w:pPr>
            <w:r>
              <w:t>案件处理时间</w:t>
            </w:r>
          </w:p>
        </w:tc>
        <w:tc>
          <w:tcPr>
            <w:tcW w:w="2551" w:type="dxa"/>
            <w:vAlign w:val="center"/>
          </w:tcPr>
          <w:p>
            <w:pPr>
              <w:pStyle w:val="17"/>
            </w:pPr>
            <w:r>
              <w:t>≤3月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完成工作需要费用成本</w:t>
            </w:r>
          </w:p>
        </w:tc>
        <w:tc>
          <w:tcPr>
            <w:tcW w:w="2835" w:type="dxa"/>
            <w:vAlign w:val="center"/>
          </w:tcPr>
          <w:p>
            <w:pPr>
              <w:pStyle w:val="17"/>
            </w:pPr>
            <w:r>
              <w:t>完成工作需要费用成本</w:t>
            </w:r>
          </w:p>
        </w:tc>
        <w:tc>
          <w:tcPr>
            <w:tcW w:w="2551" w:type="dxa"/>
            <w:vAlign w:val="center"/>
          </w:tcPr>
          <w:p>
            <w:pPr>
              <w:pStyle w:val="17"/>
            </w:pPr>
            <w:r>
              <w:t>≤27万</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w:t>
            </w:r>
          </w:p>
        </w:tc>
        <w:tc>
          <w:tcPr>
            <w:tcW w:w="2835" w:type="dxa"/>
            <w:vAlign w:val="center"/>
          </w:tcPr>
          <w:p>
            <w:pPr>
              <w:pStyle w:val="17"/>
            </w:pPr>
            <w:r>
              <w:t>项目持续发挥作用</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办案人员被投诉次数</w:t>
            </w:r>
          </w:p>
        </w:tc>
        <w:tc>
          <w:tcPr>
            <w:tcW w:w="2835" w:type="dxa"/>
            <w:vAlign w:val="center"/>
          </w:tcPr>
          <w:p>
            <w:pPr>
              <w:pStyle w:val="17"/>
            </w:pPr>
            <w:r>
              <w:t>办案人员被投诉次数</w:t>
            </w:r>
          </w:p>
        </w:tc>
        <w:tc>
          <w:tcPr>
            <w:tcW w:w="2551" w:type="dxa"/>
            <w:vAlign w:val="center"/>
          </w:tcPr>
          <w:p>
            <w:pPr>
              <w:pStyle w:val="17"/>
            </w:pPr>
            <w:r>
              <w:t>≤3次</w:t>
            </w:r>
          </w:p>
        </w:tc>
        <w:tc>
          <w:tcPr>
            <w:tcW w:w="2268" w:type="dxa"/>
            <w:vAlign w:val="center"/>
          </w:tcPr>
          <w:p>
            <w:pPr>
              <w:pStyle w:val="17"/>
            </w:pPr>
            <w:r>
              <w:t>历史经验</w:t>
            </w:r>
          </w:p>
        </w:tc>
      </w:tr>
    </w:tbl>
    <w:p>
      <w:pPr>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4、巡察巡视专项经费绩效目标表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1.保障平均每轮12人，全年四轮每轮两个月的巡察经费，通过巡察发现问题、形成震慑，推动党中央、</w:t>
            </w:r>
            <w:r>
              <w:rPr>
                <w:rFonts w:hint="eastAsia"/>
                <w:lang w:eastAsia="zh-CN"/>
              </w:rPr>
              <w:t>区</w:t>
            </w:r>
            <w:r>
              <w:t>委、市委和县（区）党委重大决策部署，从严治党，遏制腐败。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日常巡查平均人力</w:t>
            </w:r>
          </w:p>
        </w:tc>
        <w:tc>
          <w:tcPr>
            <w:tcW w:w="2835" w:type="dxa"/>
            <w:vAlign w:val="center"/>
          </w:tcPr>
          <w:p>
            <w:pPr>
              <w:pStyle w:val="17"/>
            </w:pPr>
            <w:r>
              <w:t>日常巡查平均人力</w:t>
            </w:r>
          </w:p>
        </w:tc>
        <w:tc>
          <w:tcPr>
            <w:tcW w:w="2551" w:type="dxa"/>
            <w:vAlign w:val="center"/>
          </w:tcPr>
          <w:p>
            <w:pPr>
              <w:pStyle w:val="17"/>
            </w:pPr>
            <w:r>
              <w:t>≥12人</w:t>
            </w:r>
          </w:p>
        </w:tc>
        <w:tc>
          <w:tcPr>
            <w:tcW w:w="2268" w:type="dxa"/>
            <w:vAlign w:val="center"/>
          </w:tcPr>
          <w:p>
            <w:pPr>
              <w:pStyle w:val="17"/>
            </w:pPr>
            <w:r>
              <w:t>石家庄市委巡察工作统一安排部署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问题整改情况</w:t>
            </w:r>
          </w:p>
        </w:tc>
        <w:tc>
          <w:tcPr>
            <w:tcW w:w="2835" w:type="dxa"/>
            <w:vAlign w:val="center"/>
          </w:tcPr>
          <w:p>
            <w:pPr>
              <w:pStyle w:val="17"/>
            </w:pPr>
            <w:r>
              <w:t>问题整改情况</w:t>
            </w:r>
          </w:p>
        </w:tc>
        <w:tc>
          <w:tcPr>
            <w:tcW w:w="2551" w:type="dxa"/>
            <w:vAlign w:val="center"/>
          </w:tcPr>
          <w:p>
            <w:pPr>
              <w:pStyle w:val="17"/>
            </w:pPr>
            <w:r>
              <w:t>≥40个</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任务完成时间</w:t>
            </w:r>
          </w:p>
        </w:tc>
        <w:tc>
          <w:tcPr>
            <w:tcW w:w="2835" w:type="dxa"/>
            <w:vAlign w:val="center"/>
          </w:tcPr>
          <w:p>
            <w:pPr>
              <w:pStyle w:val="17"/>
            </w:pPr>
            <w:r>
              <w:t>任务完成时间</w:t>
            </w:r>
          </w:p>
        </w:tc>
        <w:tc>
          <w:tcPr>
            <w:tcW w:w="2551" w:type="dxa"/>
            <w:vAlign w:val="center"/>
          </w:tcPr>
          <w:p>
            <w:pPr>
              <w:pStyle w:val="17"/>
            </w:pPr>
            <w:r>
              <w:t>≤2月</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巡查费用</w:t>
            </w:r>
          </w:p>
        </w:tc>
        <w:tc>
          <w:tcPr>
            <w:tcW w:w="2835" w:type="dxa"/>
            <w:vAlign w:val="center"/>
          </w:tcPr>
          <w:p>
            <w:pPr>
              <w:pStyle w:val="17"/>
            </w:pPr>
            <w:r>
              <w:t>巡查费用</w:t>
            </w:r>
          </w:p>
        </w:tc>
        <w:tc>
          <w:tcPr>
            <w:tcW w:w="2551" w:type="dxa"/>
            <w:vAlign w:val="center"/>
          </w:tcPr>
          <w:p>
            <w:pPr>
              <w:pStyle w:val="17"/>
            </w:pPr>
            <w:r>
              <w:t>≤400元/人</w:t>
            </w:r>
          </w:p>
        </w:tc>
        <w:tc>
          <w:tcPr>
            <w:tcW w:w="2268"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可持续影响力</w:t>
            </w:r>
          </w:p>
        </w:tc>
        <w:tc>
          <w:tcPr>
            <w:tcW w:w="2835" w:type="dxa"/>
            <w:vAlign w:val="center"/>
          </w:tcPr>
          <w:p>
            <w:pPr>
              <w:pStyle w:val="17"/>
            </w:pPr>
            <w:r>
              <w:t>项目可持续影响时间</w:t>
            </w:r>
          </w:p>
        </w:tc>
        <w:tc>
          <w:tcPr>
            <w:tcW w:w="2551" w:type="dxa"/>
            <w:vAlign w:val="center"/>
          </w:tcPr>
          <w:p>
            <w:pPr>
              <w:pStyle w:val="17"/>
            </w:pPr>
            <w:r>
              <w:t>≥1年</w:t>
            </w:r>
          </w:p>
        </w:tc>
        <w:tc>
          <w:tcPr>
            <w:tcW w:w="2268" w:type="dxa"/>
            <w:vAlign w:val="center"/>
          </w:tcPr>
          <w:p>
            <w:pPr>
              <w:pStyle w:val="1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历史经验</w:t>
            </w:r>
          </w:p>
        </w:tc>
      </w:tr>
    </w:tbl>
    <w:p>
      <w:pPr>
        <w:spacing w:before="10" w:after="10"/>
        <w:outlineLvl w:val="2"/>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2022年，中国共产党石家庄市鹿泉区纪律检查委员会安排政府采购预算0.00万元。具体内容见下表。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pPr w:leftFromText="180" w:rightFromText="180" w:vertAnchor="text" w:horzAnchor="page" w:tblpX="587" w:tblpY="5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7342" w:type="dxa"/>
            <w:gridSpan w:val="7"/>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w:t>
            </w:r>
            <w:r>
              <w:rPr>
                <w:rFonts w:hint="eastAsia"/>
                <w:lang w:eastAsia="zh-CN"/>
              </w:rPr>
              <w:t>单位</w:t>
            </w:r>
            <w:r>
              <w:t>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中国共产党石家庄市鹿泉区纪律检查委员会（含所属单位）上年末固定资产金额为</w:t>
      </w:r>
      <w:r>
        <w:rPr>
          <w:rFonts w:hint="eastAsia" w:eastAsia="方正仿宋_GBK"/>
          <w:color w:val="000000"/>
          <w:sz w:val="28"/>
          <w:lang w:val="en-US" w:eastAsia="zh-CN"/>
        </w:rPr>
        <w:t>416.11</w:t>
      </w:r>
      <w:r>
        <w:rPr>
          <w:rFonts w:eastAsia="方正仿宋_GBK"/>
          <w:color w:val="000000"/>
          <w:sz w:val="28"/>
        </w:rPr>
        <w:t>万元（详见下表）。本年度拟购置固定资产总额为36.00万元，</w:t>
      </w:r>
      <w:r>
        <w:rPr>
          <w:rFonts w:hint="eastAsia" w:eastAsia="方正仿宋_GBK"/>
          <w:color w:val="000000"/>
          <w:sz w:val="28"/>
          <w:lang w:eastAsia="zh-CN"/>
        </w:rPr>
        <w:t>主</w:t>
      </w:r>
      <w:r>
        <w:rPr>
          <w:rFonts w:hint="eastAsia" w:eastAsia="方正仿宋_GBK"/>
          <w:color w:val="000000"/>
          <w:sz w:val="28"/>
        </w:rPr>
        <w:t>要为计算机、一体机、打印机、软件等。</w:t>
      </w:r>
      <w:r>
        <w:rPr>
          <w:rFonts w:eastAsia="方正仿宋_GBK"/>
          <w:color w:val="000000"/>
          <w:sz w:val="28"/>
        </w:rPr>
        <w:t>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222中国共产党石家庄市鹿泉区纪律检查委员会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416.11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7</w:t>
            </w:r>
          </w:p>
        </w:tc>
        <w:tc>
          <w:tcPr>
            <w:tcW w:w="2835" w:type="dxa"/>
            <w:vAlign w:val="center"/>
          </w:tcPr>
          <w:p>
            <w:pPr>
              <w:pStyle w:val="16"/>
            </w:pPr>
            <w:r>
              <w:t>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lang w:val="en-US" w:eastAsia="zh-CN"/>
              </w:rPr>
            </w:pPr>
            <w:r>
              <w:rPr>
                <w:rFonts w:hint="eastAsia"/>
                <w:lang w:val="en-US" w:eastAsia="zh-CN"/>
              </w:rPr>
              <w:t>318.32</w:t>
            </w:r>
          </w:p>
        </w:tc>
      </w:tr>
    </w:tbl>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50" w:after="0" w:afterLines="50"/>
        <w:ind w:firstLine="640" w:firstLineChars="200"/>
        <w:textAlignment w:val="auto"/>
        <w:outlineLvl w:val="2"/>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pPr>
        <w:rPr>
          <w:rFonts w:hint="eastAsia"/>
        </w:rPr>
      </w:pPr>
    </w:p>
    <w:p>
      <w:pPr>
        <w:spacing w:line="500" w:lineRule="exact"/>
        <w:ind w:firstLine="560"/>
      </w:pPr>
    </w:p>
    <w:sectPr>
      <w:footerReference r:id="rId5" w:type="default"/>
      <w:pgSz w:w="16839" w:h="11907" w:orient="landscape"/>
      <w:pgMar w:top="1361"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16</w:t>
    </w:r>
    <w:r>
      <w:rPr>
        <w:rStyle w:val="11"/>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1F"/>
    <w:rsid w:val="00515814"/>
    <w:rsid w:val="00C11295"/>
    <w:rsid w:val="00E7661F"/>
    <w:rsid w:val="00F808FC"/>
    <w:rsid w:val="037D7666"/>
    <w:rsid w:val="03A02C41"/>
    <w:rsid w:val="04F70794"/>
    <w:rsid w:val="05301BE4"/>
    <w:rsid w:val="091F0FEF"/>
    <w:rsid w:val="0A1C108A"/>
    <w:rsid w:val="0AA57D5C"/>
    <w:rsid w:val="0C000C64"/>
    <w:rsid w:val="0CCE2C48"/>
    <w:rsid w:val="121F0588"/>
    <w:rsid w:val="12415B32"/>
    <w:rsid w:val="130245FB"/>
    <w:rsid w:val="134E2C98"/>
    <w:rsid w:val="14050323"/>
    <w:rsid w:val="168957FC"/>
    <w:rsid w:val="17C50C19"/>
    <w:rsid w:val="181C7CA8"/>
    <w:rsid w:val="1AE36C1C"/>
    <w:rsid w:val="1C5151B4"/>
    <w:rsid w:val="22350AE4"/>
    <w:rsid w:val="244A78DE"/>
    <w:rsid w:val="25652808"/>
    <w:rsid w:val="25E87895"/>
    <w:rsid w:val="26965307"/>
    <w:rsid w:val="289B2F7B"/>
    <w:rsid w:val="2AA15C05"/>
    <w:rsid w:val="2CB5119F"/>
    <w:rsid w:val="2CBA67B5"/>
    <w:rsid w:val="2DDB520C"/>
    <w:rsid w:val="308A1584"/>
    <w:rsid w:val="309450D8"/>
    <w:rsid w:val="30AC06DF"/>
    <w:rsid w:val="34EB5DFA"/>
    <w:rsid w:val="36AD2007"/>
    <w:rsid w:val="37772098"/>
    <w:rsid w:val="38142B3E"/>
    <w:rsid w:val="38286CC9"/>
    <w:rsid w:val="38637D01"/>
    <w:rsid w:val="3A4A561C"/>
    <w:rsid w:val="3B1A12EE"/>
    <w:rsid w:val="40C822D8"/>
    <w:rsid w:val="43630A8E"/>
    <w:rsid w:val="438F5E4E"/>
    <w:rsid w:val="43F422D6"/>
    <w:rsid w:val="44FF3FDE"/>
    <w:rsid w:val="46646DF8"/>
    <w:rsid w:val="48517B76"/>
    <w:rsid w:val="4AF37003"/>
    <w:rsid w:val="4AF511B4"/>
    <w:rsid w:val="4B5160DF"/>
    <w:rsid w:val="4C5C5F0C"/>
    <w:rsid w:val="4DBA6E7C"/>
    <w:rsid w:val="4F9A0F99"/>
    <w:rsid w:val="506718B7"/>
    <w:rsid w:val="525B35E6"/>
    <w:rsid w:val="530C12BE"/>
    <w:rsid w:val="53E177E7"/>
    <w:rsid w:val="55515659"/>
    <w:rsid w:val="56B435F5"/>
    <w:rsid w:val="56D05B1A"/>
    <w:rsid w:val="57D52F63"/>
    <w:rsid w:val="589A2E73"/>
    <w:rsid w:val="5A735EE5"/>
    <w:rsid w:val="5B922527"/>
    <w:rsid w:val="5E4719EF"/>
    <w:rsid w:val="605148B5"/>
    <w:rsid w:val="607B60DB"/>
    <w:rsid w:val="63C65464"/>
    <w:rsid w:val="65DF5B0E"/>
    <w:rsid w:val="666B40A1"/>
    <w:rsid w:val="68C22BAE"/>
    <w:rsid w:val="694D0DA5"/>
    <w:rsid w:val="6A0740E0"/>
    <w:rsid w:val="6A442ECC"/>
    <w:rsid w:val="6AF72A1D"/>
    <w:rsid w:val="6B6E3108"/>
    <w:rsid w:val="6CA813D1"/>
    <w:rsid w:val="6FA672B7"/>
    <w:rsid w:val="6FCE7B7A"/>
    <w:rsid w:val="75954C96"/>
    <w:rsid w:val="77627474"/>
    <w:rsid w:val="77FB59D0"/>
    <w:rsid w:val="782612B6"/>
    <w:rsid w:val="78FD28DC"/>
    <w:rsid w:val="79C21DD2"/>
    <w:rsid w:val="7D25353E"/>
    <w:rsid w:val="7D6D64A9"/>
    <w:rsid w:val="7EDE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2022-02-28T18:56:28Z</dcterms:created>
  <dcterms:modified xsi:type="dcterms:W3CDTF">2022-02-28T10:56:28Z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2022-02-28T18:56:39Z</dcterms:created>
  <dcterms:modified xsi:type="dcterms:W3CDTF">2022-02-28T10:56:39Z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2022-02-28T18:57:20Z</dcterms:created>
  <dcterms:modified xsi:type="dcterms:W3CDTF">2022-02-28T10:57:20Z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2022-02-28T18:56:22Z</dcterms:created>
  <dcterms:modified xsi:type="dcterms:W3CDTF">2022-02-28T10:56:22Z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2022-02-28T18:57:16Z</dcterms:created>
  <dcterms:modified xsi:type="dcterms:W3CDTF">2022-02-28T10:57:16Z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2022-02-28T18:57:32Z</dcterms:created>
  <dcterms:modified xsi:type="dcterms:W3CDTF">2022-02-28T10:57:32Z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2022-02-28T18:56:18Z</dcterms:created>
  <dcterms:modified xsi:type="dcterms:W3CDTF">2022-02-28T10:56:17Z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2022-02-28T18:56:30Z</dcterms:created>
  <dcterms:modified xsi:type="dcterms:W3CDTF">2022-02-28T10:56:30Z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2022-02-28T18:57:11Z</dcterms:created>
  <dcterms:modified xsi:type="dcterms:W3CDTF">2022-02-28T10:57:10Z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2022-02-28T18:56:26Z</dcterms:created>
  <dcterms:modified xsi:type="dcterms:W3CDTF">2022-02-28T10:56:26Z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2022-02-28T18:57:23Z</dcterms:created>
  <dcterms:modified xsi:type="dcterms:W3CDTF">2022-02-28T10:57:23Z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2022-02-28T18:56:24Z</dcterms:created>
  <dcterms:modified xsi:type="dcterms:W3CDTF">2022-02-28T10:56:24Z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2022-02-28T18:57:18Z</dcterms:created>
  <dcterms:modified xsi:type="dcterms:W3CDTF">2022-02-28T10:57:18Z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7647504-0A22-4A82-830B-F08EE032954E}">
  <ds:schemaRefs/>
</ds:datastoreItem>
</file>

<file path=customXml/itemProps11.xml><?xml version="1.0" encoding="utf-8"?>
<ds:datastoreItem xmlns:ds="http://schemas.openxmlformats.org/officeDocument/2006/customXml" ds:itemID="{EBD8756B-8D46-449B-8099-50B405DDADCE}">
  <ds:schemaRefs/>
</ds:datastoreItem>
</file>

<file path=customXml/itemProps12.xml><?xml version="1.0" encoding="utf-8"?>
<ds:datastoreItem xmlns:ds="http://schemas.openxmlformats.org/officeDocument/2006/customXml" ds:itemID="{6AF770BC-FC92-476B-BFD8-5C52A7EDCA49}">
  <ds:schemaRefs/>
</ds:datastoreItem>
</file>

<file path=customXml/itemProps13.xml><?xml version="1.0" encoding="utf-8"?>
<ds:datastoreItem xmlns:ds="http://schemas.openxmlformats.org/officeDocument/2006/customXml" ds:itemID="{46BD0C83-0DC6-41B5-98F7-876AF19B3329}">
  <ds:schemaRefs/>
</ds:datastoreItem>
</file>

<file path=customXml/itemProps14.xml><?xml version="1.0" encoding="utf-8"?>
<ds:datastoreItem xmlns:ds="http://schemas.openxmlformats.org/officeDocument/2006/customXml" ds:itemID="{17049429-66EB-4D87-BFDC-4A4EAEAF6FE9}">
  <ds:schemaRefs/>
</ds:datastoreItem>
</file>

<file path=customXml/itemProps15.xml><?xml version="1.0" encoding="utf-8"?>
<ds:datastoreItem xmlns:ds="http://schemas.openxmlformats.org/officeDocument/2006/customXml" ds:itemID="{640232AE-E97B-4F56-920F-7D523AC89344}">
  <ds:schemaRefs/>
</ds:datastoreItem>
</file>

<file path=customXml/itemProps16.xml><?xml version="1.0" encoding="utf-8"?>
<ds:datastoreItem xmlns:ds="http://schemas.openxmlformats.org/officeDocument/2006/customXml" ds:itemID="{113288E6-218E-4C50-BCD6-83F549C658EE}">
  <ds:schemaRefs/>
</ds:datastoreItem>
</file>

<file path=customXml/itemProps17.xml><?xml version="1.0" encoding="utf-8"?>
<ds:datastoreItem xmlns:ds="http://schemas.openxmlformats.org/officeDocument/2006/customXml" ds:itemID="{4B3E2829-C42E-4232-B384-63807E06C8CE}">
  <ds:schemaRefs/>
</ds:datastoreItem>
</file>

<file path=customXml/itemProps18.xml><?xml version="1.0" encoding="utf-8"?>
<ds:datastoreItem xmlns:ds="http://schemas.openxmlformats.org/officeDocument/2006/customXml" ds:itemID="{F75CDAAD-EFAF-42C6-B555-96D6F84DDA2D}">
  <ds:schemaRefs/>
</ds:datastoreItem>
</file>

<file path=customXml/itemProps19.xml><?xml version="1.0" encoding="utf-8"?>
<ds:datastoreItem xmlns:ds="http://schemas.openxmlformats.org/officeDocument/2006/customXml" ds:itemID="{D894DF84-5727-4ABF-A33C-5E5D4F45BFFA}">
  <ds:schemaRefs/>
</ds:datastoreItem>
</file>

<file path=customXml/itemProps2.xml><?xml version="1.0" encoding="utf-8"?>
<ds:datastoreItem xmlns:ds="http://schemas.openxmlformats.org/officeDocument/2006/customXml" ds:itemID="{20C2F6A0-A9F8-4FB4-87DE-08B7B34731CA}">
  <ds:schemaRefs/>
</ds:datastoreItem>
</file>

<file path=customXml/itemProps20.xml><?xml version="1.0" encoding="utf-8"?>
<ds:datastoreItem xmlns:ds="http://schemas.openxmlformats.org/officeDocument/2006/customXml" ds:itemID="{1C7B4E17-FAA4-4959-8300-7A8993A1B8D5}">
  <ds:schemaRefs/>
</ds:datastoreItem>
</file>

<file path=customXml/itemProps21.xml><?xml version="1.0" encoding="utf-8"?>
<ds:datastoreItem xmlns:ds="http://schemas.openxmlformats.org/officeDocument/2006/customXml" ds:itemID="{946480B7-22B9-40B9-9260-A8572FE9A76E}">
  <ds:schemaRefs/>
</ds:datastoreItem>
</file>

<file path=customXml/itemProps22.xml><?xml version="1.0" encoding="utf-8"?>
<ds:datastoreItem xmlns:ds="http://schemas.openxmlformats.org/officeDocument/2006/customXml" ds:itemID="{4160563B-5A52-499F-8E4E-25B311F49FA0}">
  <ds:schemaRefs/>
</ds:datastoreItem>
</file>

<file path=customXml/itemProps23.xml><?xml version="1.0" encoding="utf-8"?>
<ds:datastoreItem xmlns:ds="http://schemas.openxmlformats.org/officeDocument/2006/customXml" ds:itemID="{C4665871-1558-4443-BD2A-1F5CAE5D6A02}">
  <ds:schemaRefs/>
</ds:datastoreItem>
</file>

<file path=customXml/itemProps24.xml><?xml version="1.0" encoding="utf-8"?>
<ds:datastoreItem xmlns:ds="http://schemas.openxmlformats.org/officeDocument/2006/customXml" ds:itemID="{56E0BC14-C941-4DF3-B1DC-8B8B7417E2CF}">
  <ds:schemaRefs/>
</ds:datastoreItem>
</file>

<file path=customXml/itemProps25.xml><?xml version="1.0" encoding="utf-8"?>
<ds:datastoreItem xmlns:ds="http://schemas.openxmlformats.org/officeDocument/2006/customXml" ds:itemID="{FF83F626-5CCF-4778-B3AF-6DE3075E2619}">
  <ds:schemaRefs/>
</ds:datastoreItem>
</file>

<file path=customXml/itemProps26.xml><?xml version="1.0" encoding="utf-8"?>
<ds:datastoreItem xmlns:ds="http://schemas.openxmlformats.org/officeDocument/2006/customXml" ds:itemID="{3445E1C7-6191-445D-BCFF-CC3A4DA40EBD}">
  <ds:schemaRefs/>
</ds:datastoreItem>
</file>

<file path=customXml/itemProps27.xml><?xml version="1.0" encoding="utf-8"?>
<ds:datastoreItem xmlns:ds="http://schemas.openxmlformats.org/officeDocument/2006/customXml" ds:itemID="{15B7EBA7-0B85-4489-B1EA-7E1AAE1E3F76}">
  <ds:schemaRefs/>
</ds:datastoreItem>
</file>

<file path=customXml/itemProps3.xml><?xml version="1.0" encoding="utf-8"?>
<ds:datastoreItem xmlns:ds="http://schemas.openxmlformats.org/officeDocument/2006/customXml" ds:itemID="{6C37A272-1AE5-465F-8A41-023019AB93DC}">
  <ds:schemaRefs/>
</ds:datastoreItem>
</file>

<file path=customXml/itemProps4.xml><?xml version="1.0" encoding="utf-8"?>
<ds:datastoreItem xmlns:ds="http://schemas.openxmlformats.org/officeDocument/2006/customXml" ds:itemID="{DF40BED9-52B5-4C9C-8715-8F5C8B07DAFC}">
  <ds:schemaRefs/>
</ds:datastoreItem>
</file>

<file path=customXml/itemProps5.xml><?xml version="1.0" encoding="utf-8"?>
<ds:datastoreItem xmlns:ds="http://schemas.openxmlformats.org/officeDocument/2006/customXml" ds:itemID="{5F59F2D7-44D7-40E9-9822-185F41427322}">
  <ds:schemaRefs/>
</ds:datastoreItem>
</file>

<file path=customXml/itemProps6.xml><?xml version="1.0" encoding="utf-8"?>
<ds:datastoreItem xmlns:ds="http://schemas.openxmlformats.org/officeDocument/2006/customXml" ds:itemID="{52B78DD5-2656-42F5-8F2B-7D5BFACDA8DF}">
  <ds:schemaRefs/>
</ds:datastoreItem>
</file>

<file path=customXml/itemProps7.xml><?xml version="1.0" encoding="utf-8"?>
<ds:datastoreItem xmlns:ds="http://schemas.openxmlformats.org/officeDocument/2006/customXml" ds:itemID="{4379B22A-4951-413E-A053-E65EEE80FD41}">
  <ds:schemaRefs/>
</ds:datastoreItem>
</file>

<file path=customXml/itemProps8.xml><?xml version="1.0" encoding="utf-8"?>
<ds:datastoreItem xmlns:ds="http://schemas.openxmlformats.org/officeDocument/2006/customXml" ds:itemID="{A0E40C2D-FB24-4FEB-97BA-B76367573E2C}">
  <ds:schemaRefs/>
</ds:datastoreItem>
</file>

<file path=customXml/itemProps9.xml><?xml version="1.0" encoding="utf-8"?>
<ds:datastoreItem xmlns:ds="http://schemas.openxmlformats.org/officeDocument/2006/customXml" ds:itemID="{C871D02C-B2D6-4ABE-92D3-0AC0355D6D5D}">
  <ds:schemaRefs/>
</ds:datastoreItem>
</file>

<file path=docProps/app.xml><?xml version="1.0" encoding="utf-8"?>
<Properties xmlns="http://schemas.openxmlformats.org/officeDocument/2006/extended-properties" xmlns:vt="http://schemas.openxmlformats.org/officeDocument/2006/docPropsVTypes">
  <Template>Normal.dotm</Template>
  <Pages>83</Pages>
  <Words>6025</Words>
  <Characters>34346</Characters>
  <Lines>286</Lines>
  <Paragraphs>80</Paragraphs>
  <TotalTime>7</TotalTime>
  <ScaleCrop>false</ScaleCrop>
  <LinksUpToDate>false</LinksUpToDate>
  <CharactersWithSpaces>40291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2022-02-28T11:01:00Z</dcterms:created>
  <dc:creator>cw</dc:creator>
  <cp:lastModifiedBy>Administrator</cp:lastModifiedBy>
  <cp:lastPrinted>2022-03-01T08:34:00Z</cp:lastPrinted>
  <dcterms:modified xsi:type="dcterms:W3CDTF">2022-03-16T09:08:07Z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975CEFB9FED34A19BF8EC91E5FBDB547</vt:lpwstr>
  </property>
</Properties>
</file>